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6128" w14:textId="0DEE66B5" w:rsidR="00D54C1A" w:rsidRDefault="00D54C1A" w:rsidP="00D54C1A">
      <w:pPr>
        <w:jc w:val="center"/>
        <w:rPr>
          <w:rFonts w:ascii="Times New Roman" w:hAnsi="Times New Roman" w:cs="Times New Roman"/>
          <w:sz w:val="24"/>
          <w:szCs w:val="24"/>
        </w:rPr>
      </w:pPr>
      <w:r>
        <w:rPr>
          <w:rFonts w:ascii="Times New Roman" w:hAnsi="Times New Roman" w:cs="Times New Roman"/>
          <w:sz w:val="24"/>
          <w:szCs w:val="24"/>
        </w:rPr>
        <w:t>Office of the State Superintendent of Education Response to FY15 Budget Questions</w:t>
      </w:r>
    </w:p>
    <w:p w14:paraId="134EAB6A" w14:textId="77777777" w:rsidR="00C7098A" w:rsidRDefault="00C7098A" w:rsidP="00D54C1A">
      <w:pPr>
        <w:jc w:val="center"/>
        <w:rPr>
          <w:rFonts w:ascii="Times New Roman" w:hAnsi="Times New Roman" w:cs="Times New Roman"/>
          <w:sz w:val="24"/>
          <w:szCs w:val="24"/>
        </w:rPr>
      </w:pPr>
    </w:p>
    <w:p w14:paraId="46322CD3" w14:textId="77777777" w:rsidR="00D54C1A" w:rsidRDefault="00D54C1A" w:rsidP="005E66A0">
      <w:pPr>
        <w:jc w:val="both"/>
        <w:rPr>
          <w:rFonts w:ascii="Times New Roman" w:hAnsi="Times New Roman" w:cs="Times New Roman"/>
          <w:sz w:val="24"/>
          <w:szCs w:val="24"/>
        </w:rPr>
      </w:pPr>
    </w:p>
    <w:p w14:paraId="2B87FED7"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What are the agency’s performance goals and targeted outcomes for FY15?  How will the proposed FY15 budget serve to achieve those goals?</w:t>
      </w:r>
    </w:p>
    <w:p w14:paraId="1B484C1C" w14:textId="77777777" w:rsidR="00EF421C" w:rsidRDefault="00EF421C" w:rsidP="00EF421C">
      <w:pPr>
        <w:jc w:val="both"/>
        <w:rPr>
          <w:rFonts w:ascii="Times New Roman" w:hAnsi="Times New Roman" w:cs="Times New Roman"/>
          <w:sz w:val="24"/>
          <w:szCs w:val="24"/>
        </w:rPr>
      </w:pPr>
    </w:p>
    <w:p w14:paraId="3F9C8505" w14:textId="7F2DED6E" w:rsidR="00BE4A8B" w:rsidRPr="00451283" w:rsidRDefault="008720CB" w:rsidP="00451283">
      <w:pPr>
        <w:ind w:firstLine="360"/>
        <w:jc w:val="both"/>
        <w:rPr>
          <w:rFonts w:asciiTheme="minorHAnsi" w:hAnsiTheme="minorHAnsi" w:cs="Times New Roman"/>
          <w:color w:val="002060"/>
        </w:rPr>
      </w:pPr>
      <w:r w:rsidRPr="00451283">
        <w:rPr>
          <w:rFonts w:asciiTheme="minorHAnsi" w:hAnsiTheme="minorHAnsi" w:cs="Times New Roman"/>
          <w:color w:val="002060"/>
        </w:rPr>
        <w:t>OSSE’s agency goals are as follows:</w:t>
      </w:r>
    </w:p>
    <w:p w14:paraId="2E033E87" w14:textId="77777777" w:rsidR="008720CB" w:rsidRDefault="008720CB" w:rsidP="008720CB">
      <w:pPr>
        <w:pStyle w:val="ListParagraph"/>
        <w:jc w:val="both"/>
        <w:rPr>
          <w:rFonts w:asciiTheme="minorHAnsi" w:hAnsiTheme="minorHAnsi" w:cs="Times New Roman"/>
          <w:color w:val="002060"/>
        </w:rPr>
      </w:pPr>
    </w:p>
    <w:tbl>
      <w:tblPr>
        <w:tblStyle w:val="TableGrid"/>
        <w:tblW w:w="0" w:type="auto"/>
        <w:tblInd w:w="468" w:type="dxa"/>
        <w:tblLook w:val="04A0" w:firstRow="1" w:lastRow="0" w:firstColumn="1" w:lastColumn="0" w:noHBand="0" w:noVBand="1"/>
      </w:tblPr>
      <w:tblGrid>
        <w:gridCol w:w="679"/>
        <w:gridCol w:w="2019"/>
        <w:gridCol w:w="6302"/>
      </w:tblGrid>
      <w:tr w:rsidR="008720CB" w:rsidRPr="0082349F" w14:paraId="33669D01" w14:textId="77777777" w:rsidTr="002860D9">
        <w:trPr>
          <w:trHeight w:val="480"/>
        </w:trPr>
        <w:tc>
          <w:tcPr>
            <w:tcW w:w="679" w:type="dxa"/>
            <w:hideMark/>
          </w:tcPr>
          <w:p w14:paraId="1FFA97B7" w14:textId="77777777" w:rsidR="008720CB" w:rsidRPr="0082349F" w:rsidRDefault="008720CB" w:rsidP="002860D9">
            <w:pPr>
              <w:rPr>
                <w:rFonts w:asciiTheme="minorHAnsi" w:hAnsiTheme="minorHAnsi" w:cs="Times New Roman"/>
                <w:color w:val="002060"/>
              </w:rPr>
            </w:pPr>
          </w:p>
        </w:tc>
        <w:tc>
          <w:tcPr>
            <w:tcW w:w="8321" w:type="dxa"/>
            <w:gridSpan w:val="2"/>
            <w:vAlign w:val="center"/>
            <w:hideMark/>
          </w:tcPr>
          <w:p w14:paraId="6B9AF99B" w14:textId="73AE7A3E" w:rsidR="008720CB" w:rsidRPr="0082349F" w:rsidRDefault="008720CB" w:rsidP="002860D9">
            <w:pPr>
              <w:jc w:val="center"/>
              <w:rPr>
                <w:rFonts w:asciiTheme="minorHAnsi" w:hAnsiTheme="minorHAnsi" w:cs="Times New Roman"/>
                <w:b/>
                <w:bCs/>
                <w:color w:val="002060"/>
              </w:rPr>
            </w:pPr>
            <w:r w:rsidRPr="0082349F">
              <w:rPr>
                <w:rFonts w:asciiTheme="minorHAnsi" w:hAnsiTheme="minorHAnsi" w:cs="Times New Roman"/>
                <w:b/>
                <w:bCs/>
                <w:color w:val="002060"/>
              </w:rPr>
              <w:t>GOALS</w:t>
            </w:r>
            <w:r w:rsidR="00416D32">
              <w:rPr>
                <w:rStyle w:val="FootnoteReference"/>
                <w:rFonts w:asciiTheme="minorHAnsi" w:hAnsiTheme="minorHAnsi" w:cs="Times New Roman"/>
                <w:b/>
                <w:bCs/>
                <w:color w:val="002060"/>
              </w:rPr>
              <w:footnoteReference w:id="1"/>
            </w:r>
          </w:p>
        </w:tc>
      </w:tr>
      <w:tr w:rsidR="008720CB" w:rsidRPr="0082349F" w14:paraId="7C779881" w14:textId="77777777" w:rsidTr="002860D9">
        <w:trPr>
          <w:trHeight w:val="300"/>
        </w:trPr>
        <w:tc>
          <w:tcPr>
            <w:tcW w:w="679" w:type="dxa"/>
            <w:vAlign w:val="center"/>
            <w:hideMark/>
          </w:tcPr>
          <w:p w14:paraId="02A20636" w14:textId="77777777" w:rsidR="008720CB" w:rsidRPr="0082349F" w:rsidRDefault="008720CB" w:rsidP="002860D9">
            <w:pPr>
              <w:jc w:val="center"/>
              <w:rPr>
                <w:rFonts w:asciiTheme="minorHAnsi" w:hAnsiTheme="minorHAnsi" w:cs="Times New Roman"/>
                <w:color w:val="002060"/>
              </w:rPr>
            </w:pPr>
            <w:r w:rsidRPr="0082349F">
              <w:rPr>
                <w:rFonts w:asciiTheme="minorHAnsi" w:hAnsiTheme="minorHAnsi" w:cs="Times New Roman"/>
                <w:color w:val="002060"/>
              </w:rPr>
              <w:t>1</w:t>
            </w:r>
          </w:p>
        </w:tc>
        <w:tc>
          <w:tcPr>
            <w:tcW w:w="2019" w:type="dxa"/>
            <w:vAlign w:val="center"/>
            <w:hideMark/>
          </w:tcPr>
          <w:p w14:paraId="1CD4E6BD" w14:textId="77777777" w:rsidR="008720CB" w:rsidRPr="0082349F" w:rsidRDefault="008720CB" w:rsidP="002860D9">
            <w:pPr>
              <w:rPr>
                <w:rFonts w:asciiTheme="minorHAnsi" w:hAnsiTheme="minorHAnsi" w:cs="Times New Roman"/>
                <w:b/>
                <w:bCs/>
                <w:color w:val="002060"/>
              </w:rPr>
            </w:pPr>
            <w:r w:rsidRPr="0082349F">
              <w:rPr>
                <w:rFonts w:asciiTheme="minorHAnsi" w:hAnsiTheme="minorHAnsi" w:cs="Times New Roman"/>
                <w:b/>
                <w:bCs/>
                <w:color w:val="002060"/>
              </w:rPr>
              <w:t>Ready For School</w:t>
            </w:r>
          </w:p>
        </w:tc>
        <w:tc>
          <w:tcPr>
            <w:tcW w:w="6302" w:type="dxa"/>
            <w:vAlign w:val="center"/>
            <w:hideMark/>
          </w:tcPr>
          <w:p w14:paraId="2EA49F14" w14:textId="77777777" w:rsidR="008720CB" w:rsidRPr="0082349F" w:rsidRDefault="008720CB" w:rsidP="002860D9">
            <w:pPr>
              <w:rPr>
                <w:rFonts w:asciiTheme="minorHAnsi" w:hAnsiTheme="minorHAnsi" w:cs="Times New Roman"/>
                <w:color w:val="002060"/>
              </w:rPr>
            </w:pPr>
            <w:r w:rsidRPr="0082349F">
              <w:rPr>
                <w:rFonts w:asciiTheme="minorHAnsi" w:hAnsiTheme="minorHAnsi" w:cs="Times New Roman"/>
                <w:color w:val="002060"/>
              </w:rPr>
              <w:t>75% of children are ready for school by 2016-2017</w:t>
            </w:r>
          </w:p>
        </w:tc>
      </w:tr>
      <w:tr w:rsidR="008720CB" w:rsidRPr="0082349F" w14:paraId="150E0FD0" w14:textId="77777777" w:rsidTr="002860D9">
        <w:trPr>
          <w:trHeight w:val="600"/>
        </w:trPr>
        <w:tc>
          <w:tcPr>
            <w:tcW w:w="679" w:type="dxa"/>
            <w:vAlign w:val="center"/>
            <w:hideMark/>
          </w:tcPr>
          <w:p w14:paraId="13228FB1" w14:textId="77777777" w:rsidR="008720CB" w:rsidRPr="0082349F" w:rsidRDefault="008720CB" w:rsidP="002860D9">
            <w:pPr>
              <w:jc w:val="center"/>
              <w:rPr>
                <w:rFonts w:asciiTheme="minorHAnsi" w:hAnsiTheme="minorHAnsi" w:cs="Times New Roman"/>
                <w:color w:val="002060"/>
              </w:rPr>
            </w:pPr>
            <w:r w:rsidRPr="0082349F">
              <w:rPr>
                <w:rFonts w:asciiTheme="minorHAnsi" w:hAnsiTheme="minorHAnsi" w:cs="Times New Roman"/>
                <w:color w:val="002060"/>
              </w:rPr>
              <w:t>2</w:t>
            </w:r>
          </w:p>
        </w:tc>
        <w:tc>
          <w:tcPr>
            <w:tcW w:w="2019" w:type="dxa"/>
            <w:vAlign w:val="center"/>
            <w:hideMark/>
          </w:tcPr>
          <w:p w14:paraId="2FEF3279" w14:textId="77777777" w:rsidR="008720CB" w:rsidRPr="0082349F" w:rsidRDefault="008720CB" w:rsidP="002860D9">
            <w:pPr>
              <w:rPr>
                <w:rFonts w:asciiTheme="minorHAnsi" w:hAnsiTheme="minorHAnsi" w:cs="Times New Roman"/>
                <w:b/>
                <w:bCs/>
                <w:color w:val="002060"/>
              </w:rPr>
            </w:pPr>
            <w:r w:rsidRPr="0082349F">
              <w:rPr>
                <w:rFonts w:asciiTheme="minorHAnsi" w:hAnsiTheme="minorHAnsi" w:cs="Times New Roman"/>
                <w:b/>
                <w:bCs/>
                <w:color w:val="002060"/>
              </w:rPr>
              <w:t>3rd Grade Reading</w:t>
            </w:r>
          </w:p>
        </w:tc>
        <w:tc>
          <w:tcPr>
            <w:tcW w:w="6302" w:type="dxa"/>
            <w:vAlign w:val="center"/>
            <w:hideMark/>
          </w:tcPr>
          <w:p w14:paraId="06701624" w14:textId="77777777" w:rsidR="008720CB" w:rsidRPr="0082349F" w:rsidRDefault="008720CB" w:rsidP="002860D9">
            <w:pPr>
              <w:rPr>
                <w:rFonts w:asciiTheme="minorHAnsi" w:hAnsiTheme="minorHAnsi" w:cs="Times New Roman"/>
                <w:color w:val="002060"/>
              </w:rPr>
            </w:pPr>
            <w:r w:rsidRPr="0082349F">
              <w:rPr>
                <w:rFonts w:asciiTheme="minorHAnsi" w:hAnsiTheme="minorHAnsi" w:cs="Times New Roman"/>
                <w:color w:val="002060"/>
              </w:rPr>
              <w:t>75% of 3rd graders are proficient or advanced in reading by 2016-2017</w:t>
            </w:r>
          </w:p>
        </w:tc>
      </w:tr>
      <w:tr w:rsidR="008720CB" w:rsidRPr="0082349F" w14:paraId="101C236C" w14:textId="77777777" w:rsidTr="002860D9">
        <w:trPr>
          <w:trHeight w:val="615"/>
        </w:trPr>
        <w:tc>
          <w:tcPr>
            <w:tcW w:w="679" w:type="dxa"/>
            <w:vAlign w:val="center"/>
            <w:hideMark/>
          </w:tcPr>
          <w:p w14:paraId="578162E5" w14:textId="77777777" w:rsidR="008720CB" w:rsidRPr="0082349F" w:rsidRDefault="008720CB" w:rsidP="002860D9">
            <w:pPr>
              <w:jc w:val="center"/>
              <w:rPr>
                <w:rFonts w:asciiTheme="minorHAnsi" w:hAnsiTheme="minorHAnsi" w:cs="Times New Roman"/>
                <w:color w:val="002060"/>
              </w:rPr>
            </w:pPr>
            <w:r w:rsidRPr="0082349F">
              <w:rPr>
                <w:rFonts w:asciiTheme="minorHAnsi" w:hAnsiTheme="minorHAnsi" w:cs="Times New Roman"/>
                <w:color w:val="002060"/>
              </w:rPr>
              <w:t>3</w:t>
            </w:r>
          </w:p>
        </w:tc>
        <w:tc>
          <w:tcPr>
            <w:tcW w:w="2019" w:type="dxa"/>
            <w:vAlign w:val="center"/>
            <w:hideMark/>
          </w:tcPr>
          <w:p w14:paraId="19BBDE36" w14:textId="77777777" w:rsidR="008720CB" w:rsidRPr="0082349F" w:rsidRDefault="008720CB" w:rsidP="002860D9">
            <w:pPr>
              <w:rPr>
                <w:rFonts w:asciiTheme="minorHAnsi" w:hAnsiTheme="minorHAnsi" w:cs="Times New Roman"/>
                <w:b/>
                <w:bCs/>
                <w:color w:val="002060"/>
              </w:rPr>
            </w:pPr>
            <w:r w:rsidRPr="0082349F">
              <w:rPr>
                <w:rFonts w:asciiTheme="minorHAnsi" w:hAnsiTheme="minorHAnsi" w:cs="Times New Roman"/>
                <w:b/>
                <w:bCs/>
                <w:color w:val="002060"/>
              </w:rPr>
              <w:t>8th Grade Math</w:t>
            </w:r>
          </w:p>
        </w:tc>
        <w:tc>
          <w:tcPr>
            <w:tcW w:w="6302" w:type="dxa"/>
            <w:vAlign w:val="center"/>
            <w:hideMark/>
          </w:tcPr>
          <w:p w14:paraId="57486A20" w14:textId="77777777" w:rsidR="008720CB" w:rsidRPr="0082349F" w:rsidRDefault="008720CB" w:rsidP="002860D9">
            <w:pPr>
              <w:rPr>
                <w:rFonts w:asciiTheme="minorHAnsi" w:hAnsiTheme="minorHAnsi" w:cs="Times New Roman"/>
                <w:color w:val="002060"/>
              </w:rPr>
            </w:pPr>
            <w:r w:rsidRPr="0082349F">
              <w:rPr>
                <w:rFonts w:asciiTheme="minorHAnsi" w:hAnsiTheme="minorHAnsi" w:cs="Times New Roman"/>
                <w:color w:val="002060"/>
              </w:rPr>
              <w:t>75% of 8th graders are proficient or advanced in math by 2016-2017</w:t>
            </w:r>
          </w:p>
        </w:tc>
      </w:tr>
      <w:tr w:rsidR="008720CB" w:rsidRPr="0082349F" w14:paraId="07A3F9EE" w14:textId="77777777" w:rsidTr="002860D9">
        <w:trPr>
          <w:trHeight w:val="600"/>
        </w:trPr>
        <w:tc>
          <w:tcPr>
            <w:tcW w:w="679" w:type="dxa"/>
            <w:vAlign w:val="center"/>
            <w:hideMark/>
          </w:tcPr>
          <w:p w14:paraId="228798E3" w14:textId="77777777" w:rsidR="008720CB" w:rsidRPr="0082349F" w:rsidRDefault="008720CB" w:rsidP="002860D9">
            <w:pPr>
              <w:jc w:val="center"/>
              <w:rPr>
                <w:rFonts w:asciiTheme="minorHAnsi" w:hAnsiTheme="minorHAnsi" w:cs="Times New Roman"/>
                <w:color w:val="002060"/>
              </w:rPr>
            </w:pPr>
            <w:r w:rsidRPr="0082349F">
              <w:rPr>
                <w:rFonts w:asciiTheme="minorHAnsi" w:hAnsiTheme="minorHAnsi" w:cs="Times New Roman"/>
                <w:color w:val="002060"/>
              </w:rPr>
              <w:t>4</w:t>
            </w:r>
          </w:p>
        </w:tc>
        <w:tc>
          <w:tcPr>
            <w:tcW w:w="2019" w:type="dxa"/>
            <w:vAlign w:val="center"/>
            <w:hideMark/>
          </w:tcPr>
          <w:p w14:paraId="47010E36" w14:textId="77777777" w:rsidR="008720CB" w:rsidRPr="0082349F" w:rsidRDefault="008720CB" w:rsidP="002860D9">
            <w:pPr>
              <w:rPr>
                <w:rFonts w:asciiTheme="minorHAnsi" w:hAnsiTheme="minorHAnsi" w:cs="Times New Roman"/>
                <w:b/>
                <w:bCs/>
                <w:color w:val="002060"/>
              </w:rPr>
            </w:pPr>
            <w:r w:rsidRPr="0082349F">
              <w:rPr>
                <w:rFonts w:asciiTheme="minorHAnsi" w:hAnsiTheme="minorHAnsi" w:cs="Times New Roman"/>
                <w:b/>
                <w:bCs/>
                <w:color w:val="002060"/>
              </w:rPr>
              <w:t>High School Graduation</w:t>
            </w:r>
          </w:p>
        </w:tc>
        <w:tc>
          <w:tcPr>
            <w:tcW w:w="6302" w:type="dxa"/>
            <w:vAlign w:val="center"/>
            <w:hideMark/>
          </w:tcPr>
          <w:p w14:paraId="0E8B0DFA" w14:textId="77777777" w:rsidR="008720CB" w:rsidRPr="0082349F" w:rsidRDefault="008720CB" w:rsidP="002860D9">
            <w:pPr>
              <w:rPr>
                <w:rFonts w:asciiTheme="minorHAnsi" w:hAnsiTheme="minorHAnsi" w:cs="Times New Roman"/>
                <w:color w:val="002060"/>
              </w:rPr>
            </w:pPr>
            <w:r w:rsidRPr="0082349F">
              <w:rPr>
                <w:rFonts w:asciiTheme="minorHAnsi" w:hAnsiTheme="minorHAnsi" w:cs="Times New Roman"/>
                <w:color w:val="002060"/>
              </w:rPr>
              <w:t>75% of all students graduate HS in four years ready for college and careers by 2016-2017</w:t>
            </w:r>
          </w:p>
        </w:tc>
      </w:tr>
      <w:tr w:rsidR="008720CB" w:rsidRPr="0082349F" w14:paraId="4ED28555" w14:textId="77777777" w:rsidTr="002860D9">
        <w:trPr>
          <w:trHeight w:val="600"/>
        </w:trPr>
        <w:tc>
          <w:tcPr>
            <w:tcW w:w="679" w:type="dxa"/>
            <w:vAlign w:val="center"/>
            <w:hideMark/>
          </w:tcPr>
          <w:p w14:paraId="38B7C53A" w14:textId="77777777" w:rsidR="008720CB" w:rsidRPr="0082349F" w:rsidRDefault="008720CB" w:rsidP="002860D9">
            <w:pPr>
              <w:jc w:val="center"/>
              <w:rPr>
                <w:rFonts w:asciiTheme="minorHAnsi" w:hAnsiTheme="minorHAnsi" w:cs="Times New Roman"/>
                <w:color w:val="002060"/>
              </w:rPr>
            </w:pPr>
            <w:r w:rsidRPr="0082349F">
              <w:rPr>
                <w:rFonts w:asciiTheme="minorHAnsi" w:hAnsiTheme="minorHAnsi" w:cs="Times New Roman"/>
                <w:color w:val="002060"/>
              </w:rPr>
              <w:t>5</w:t>
            </w:r>
          </w:p>
        </w:tc>
        <w:tc>
          <w:tcPr>
            <w:tcW w:w="2019" w:type="dxa"/>
            <w:vAlign w:val="center"/>
            <w:hideMark/>
          </w:tcPr>
          <w:p w14:paraId="7D160A86" w14:textId="77777777" w:rsidR="008720CB" w:rsidRPr="0082349F" w:rsidRDefault="008720CB" w:rsidP="002860D9">
            <w:pPr>
              <w:rPr>
                <w:rFonts w:asciiTheme="minorHAnsi" w:hAnsiTheme="minorHAnsi" w:cs="Times New Roman"/>
                <w:b/>
                <w:bCs/>
                <w:color w:val="002060"/>
              </w:rPr>
            </w:pPr>
            <w:r w:rsidRPr="0082349F">
              <w:rPr>
                <w:rFonts w:asciiTheme="minorHAnsi" w:hAnsiTheme="minorHAnsi" w:cs="Times New Roman"/>
                <w:b/>
                <w:bCs/>
                <w:color w:val="002060"/>
              </w:rPr>
              <w:t>Post-secondary Attainment</w:t>
            </w:r>
          </w:p>
        </w:tc>
        <w:tc>
          <w:tcPr>
            <w:tcW w:w="6302" w:type="dxa"/>
            <w:vAlign w:val="center"/>
            <w:hideMark/>
          </w:tcPr>
          <w:p w14:paraId="519EA952" w14:textId="77777777" w:rsidR="008720CB" w:rsidRPr="0082349F" w:rsidRDefault="008720CB" w:rsidP="002860D9">
            <w:pPr>
              <w:rPr>
                <w:rFonts w:asciiTheme="minorHAnsi" w:hAnsiTheme="minorHAnsi" w:cs="Times New Roman"/>
                <w:color w:val="002060"/>
              </w:rPr>
            </w:pPr>
            <w:r w:rsidRPr="0082349F">
              <w:rPr>
                <w:rFonts w:asciiTheme="minorHAnsi" w:hAnsiTheme="minorHAnsi" w:cs="Times New Roman"/>
                <w:color w:val="002060"/>
              </w:rPr>
              <w:t>38% of District students complete a post-secondary credential within 6 years of HS graduation by 2017</w:t>
            </w:r>
          </w:p>
        </w:tc>
      </w:tr>
      <w:tr w:rsidR="008720CB" w:rsidRPr="0082349F" w14:paraId="082C7CC7" w14:textId="77777777" w:rsidTr="002860D9">
        <w:trPr>
          <w:trHeight w:val="510"/>
        </w:trPr>
        <w:tc>
          <w:tcPr>
            <w:tcW w:w="679" w:type="dxa"/>
            <w:vAlign w:val="center"/>
            <w:hideMark/>
          </w:tcPr>
          <w:p w14:paraId="7D51DFD9" w14:textId="77777777" w:rsidR="008720CB" w:rsidRPr="0082349F" w:rsidRDefault="008720CB" w:rsidP="002860D9">
            <w:pPr>
              <w:jc w:val="center"/>
              <w:rPr>
                <w:rFonts w:asciiTheme="minorHAnsi" w:hAnsiTheme="minorHAnsi" w:cs="Times New Roman"/>
                <w:color w:val="002060"/>
              </w:rPr>
            </w:pPr>
            <w:r w:rsidRPr="0082349F">
              <w:rPr>
                <w:rFonts w:asciiTheme="minorHAnsi" w:hAnsiTheme="minorHAnsi" w:cs="Times New Roman"/>
                <w:color w:val="002060"/>
              </w:rPr>
              <w:t>6</w:t>
            </w:r>
          </w:p>
        </w:tc>
        <w:tc>
          <w:tcPr>
            <w:tcW w:w="2019" w:type="dxa"/>
            <w:vAlign w:val="center"/>
            <w:hideMark/>
          </w:tcPr>
          <w:p w14:paraId="49057D18" w14:textId="77777777" w:rsidR="008720CB" w:rsidRPr="0082349F" w:rsidRDefault="008720CB" w:rsidP="002860D9">
            <w:pPr>
              <w:rPr>
                <w:rFonts w:asciiTheme="minorHAnsi" w:hAnsiTheme="minorHAnsi" w:cs="Times New Roman"/>
                <w:b/>
                <w:bCs/>
                <w:color w:val="002060"/>
              </w:rPr>
            </w:pPr>
            <w:r w:rsidRPr="0082349F">
              <w:rPr>
                <w:rFonts w:asciiTheme="minorHAnsi" w:hAnsiTheme="minorHAnsi" w:cs="Times New Roman"/>
                <w:b/>
                <w:bCs/>
                <w:color w:val="002060"/>
              </w:rPr>
              <w:t>Disconnected Youth</w:t>
            </w:r>
          </w:p>
        </w:tc>
        <w:tc>
          <w:tcPr>
            <w:tcW w:w="6302" w:type="dxa"/>
            <w:vAlign w:val="center"/>
            <w:hideMark/>
          </w:tcPr>
          <w:p w14:paraId="729CE5E5" w14:textId="77777777" w:rsidR="008720CB" w:rsidRPr="0082349F" w:rsidRDefault="008720CB" w:rsidP="002860D9">
            <w:pPr>
              <w:rPr>
                <w:rFonts w:asciiTheme="minorHAnsi" w:hAnsiTheme="minorHAnsi" w:cs="Times New Roman"/>
                <w:color w:val="002060"/>
              </w:rPr>
            </w:pPr>
            <w:r w:rsidRPr="0082349F">
              <w:rPr>
                <w:rFonts w:asciiTheme="minorHAnsi" w:hAnsiTheme="minorHAnsi" w:cs="Times New Roman"/>
                <w:color w:val="002060"/>
              </w:rPr>
              <w:t>Decrease the number of low-income youth ages 16-24 who are not in school and are not employed to 7,000 by 2017</w:t>
            </w:r>
          </w:p>
        </w:tc>
      </w:tr>
      <w:tr w:rsidR="008720CB" w:rsidRPr="0082349F" w14:paraId="3B224D7B" w14:textId="77777777" w:rsidTr="002860D9">
        <w:trPr>
          <w:trHeight w:val="315"/>
        </w:trPr>
        <w:tc>
          <w:tcPr>
            <w:tcW w:w="679" w:type="dxa"/>
            <w:vAlign w:val="center"/>
            <w:hideMark/>
          </w:tcPr>
          <w:p w14:paraId="2DBB9810" w14:textId="77777777" w:rsidR="008720CB" w:rsidRPr="0082349F" w:rsidRDefault="008720CB" w:rsidP="002860D9">
            <w:pPr>
              <w:jc w:val="center"/>
              <w:rPr>
                <w:rFonts w:asciiTheme="minorHAnsi" w:hAnsiTheme="minorHAnsi" w:cs="Times New Roman"/>
                <w:color w:val="002060"/>
              </w:rPr>
            </w:pPr>
            <w:r w:rsidRPr="0082349F">
              <w:rPr>
                <w:rFonts w:asciiTheme="minorHAnsi" w:hAnsiTheme="minorHAnsi" w:cs="Times New Roman"/>
                <w:color w:val="002060"/>
              </w:rPr>
              <w:t>7</w:t>
            </w:r>
          </w:p>
        </w:tc>
        <w:tc>
          <w:tcPr>
            <w:tcW w:w="2019" w:type="dxa"/>
            <w:vAlign w:val="center"/>
            <w:hideMark/>
          </w:tcPr>
          <w:p w14:paraId="10C57961" w14:textId="77777777" w:rsidR="008720CB" w:rsidRPr="0082349F" w:rsidRDefault="008720CB" w:rsidP="002860D9">
            <w:pPr>
              <w:rPr>
                <w:rFonts w:asciiTheme="minorHAnsi" w:hAnsiTheme="minorHAnsi" w:cs="Times New Roman"/>
                <w:b/>
                <w:bCs/>
                <w:color w:val="002060"/>
              </w:rPr>
            </w:pPr>
            <w:r w:rsidRPr="0082349F">
              <w:rPr>
                <w:rFonts w:asciiTheme="minorHAnsi" w:hAnsiTheme="minorHAnsi" w:cs="Times New Roman"/>
                <w:b/>
                <w:bCs/>
                <w:color w:val="002060"/>
              </w:rPr>
              <w:t>Careers</w:t>
            </w:r>
          </w:p>
        </w:tc>
        <w:tc>
          <w:tcPr>
            <w:tcW w:w="6302" w:type="dxa"/>
            <w:vAlign w:val="center"/>
            <w:hideMark/>
          </w:tcPr>
          <w:p w14:paraId="02CE305F" w14:textId="77777777" w:rsidR="008720CB" w:rsidRPr="0082349F" w:rsidRDefault="008720CB" w:rsidP="002860D9">
            <w:pPr>
              <w:rPr>
                <w:rFonts w:asciiTheme="minorHAnsi" w:hAnsiTheme="minorHAnsi" w:cs="Times New Roman"/>
                <w:color w:val="002060"/>
              </w:rPr>
            </w:pPr>
            <w:r w:rsidRPr="0082349F">
              <w:rPr>
                <w:rFonts w:asciiTheme="minorHAnsi" w:hAnsiTheme="minorHAnsi" w:cs="Times New Roman"/>
                <w:color w:val="002060"/>
              </w:rPr>
              <w:t>66% of DC residents ages 20-24 are employed full-time by 2017</w:t>
            </w:r>
          </w:p>
        </w:tc>
      </w:tr>
    </w:tbl>
    <w:p w14:paraId="05B331AF" w14:textId="77777777" w:rsidR="00EF421C" w:rsidRDefault="00EF421C" w:rsidP="00451283">
      <w:pPr>
        <w:jc w:val="both"/>
        <w:rPr>
          <w:rFonts w:ascii="Times New Roman" w:hAnsi="Times New Roman" w:cs="Times New Roman"/>
          <w:sz w:val="24"/>
          <w:szCs w:val="24"/>
        </w:rPr>
      </w:pPr>
    </w:p>
    <w:p w14:paraId="53BC9E7C" w14:textId="77777777" w:rsidR="001B22BF" w:rsidRPr="001B22BF" w:rsidRDefault="001B22BF" w:rsidP="001B22BF">
      <w:pPr>
        <w:ind w:left="360"/>
        <w:jc w:val="both"/>
        <w:rPr>
          <w:rFonts w:eastAsia="Times New Roman"/>
          <w:color w:val="002060"/>
          <w:sz w:val="21"/>
          <w:szCs w:val="21"/>
        </w:rPr>
      </w:pPr>
      <w:r w:rsidRPr="001B22BF">
        <w:rPr>
          <w:rFonts w:eastAsia="Times New Roman"/>
          <w:color w:val="002060"/>
          <w:sz w:val="21"/>
          <w:szCs w:val="21"/>
        </w:rPr>
        <w:t>OSSE’s FY15 budget provides the funding necessary to continue to make progress on the agency’s core goals as stated above.   </w:t>
      </w:r>
    </w:p>
    <w:p w14:paraId="0618EF0A" w14:textId="77777777" w:rsidR="001B22BF" w:rsidRPr="001B22BF" w:rsidRDefault="001B22BF" w:rsidP="001B22BF">
      <w:pPr>
        <w:ind w:left="360"/>
        <w:jc w:val="both"/>
        <w:rPr>
          <w:rFonts w:eastAsia="Times New Roman"/>
          <w:color w:val="002060"/>
          <w:sz w:val="21"/>
          <w:szCs w:val="21"/>
        </w:rPr>
      </w:pPr>
    </w:p>
    <w:p w14:paraId="05970D01" w14:textId="77777777" w:rsidR="001B22BF" w:rsidRPr="001B22BF" w:rsidRDefault="001B22BF" w:rsidP="001B22BF">
      <w:pPr>
        <w:ind w:left="360"/>
        <w:jc w:val="both"/>
        <w:rPr>
          <w:rFonts w:eastAsia="Times New Roman"/>
          <w:color w:val="002060"/>
          <w:sz w:val="21"/>
          <w:szCs w:val="21"/>
        </w:rPr>
      </w:pPr>
      <w:r w:rsidRPr="001B22BF">
        <w:rPr>
          <w:rFonts w:eastAsia="Times New Roman"/>
          <w:color w:val="002060"/>
          <w:sz w:val="21"/>
          <w:szCs w:val="21"/>
        </w:rPr>
        <w:t>Through the additional funds provided for early childhood education, OSSE will be able to continue to improve quality and  expand access to early childhood education, including maintaining the option of pre-k for all District three and four year olds and expanding support for new educational opportunities for infants and toddlers.  This additional support will augment our existing efforts to ensure that 75% of children are ready for school by school year 2016-2017.  </w:t>
      </w:r>
    </w:p>
    <w:p w14:paraId="0EDAA5F3" w14:textId="77777777" w:rsidR="001B22BF" w:rsidRPr="001B22BF" w:rsidRDefault="001B22BF" w:rsidP="001B22BF">
      <w:pPr>
        <w:ind w:left="360"/>
        <w:jc w:val="both"/>
        <w:rPr>
          <w:rFonts w:eastAsia="Times New Roman"/>
          <w:color w:val="002060"/>
          <w:sz w:val="21"/>
          <w:szCs w:val="21"/>
        </w:rPr>
      </w:pPr>
    </w:p>
    <w:p w14:paraId="751D12CC" w14:textId="6D4D4D29" w:rsidR="001B22BF" w:rsidRPr="001B22BF" w:rsidRDefault="001B22BF" w:rsidP="001B22BF">
      <w:pPr>
        <w:ind w:left="360"/>
        <w:jc w:val="both"/>
        <w:rPr>
          <w:rFonts w:eastAsia="Times New Roman"/>
          <w:color w:val="002060"/>
          <w:sz w:val="21"/>
          <w:szCs w:val="21"/>
        </w:rPr>
      </w:pPr>
      <w:r>
        <w:rPr>
          <w:rFonts w:eastAsia="Times New Roman"/>
          <w:color w:val="002060"/>
          <w:sz w:val="21"/>
          <w:szCs w:val="21"/>
        </w:rPr>
        <w:t>The additional funding for OSSE’s</w:t>
      </w:r>
      <w:r w:rsidRPr="001B22BF">
        <w:rPr>
          <w:rFonts w:eastAsia="Times New Roman"/>
          <w:color w:val="002060"/>
          <w:sz w:val="21"/>
          <w:szCs w:val="21"/>
        </w:rPr>
        <w:t xml:space="preserve"> Career Academy initiative will allow us to maintain the exciting progress that was made in FY14 to expand access to high-quality career and tech</w:t>
      </w:r>
      <w:r>
        <w:rPr>
          <w:rFonts w:eastAsia="Times New Roman"/>
          <w:color w:val="002060"/>
          <w:sz w:val="21"/>
          <w:szCs w:val="21"/>
        </w:rPr>
        <w:t>nical education programs.  This</w:t>
      </w:r>
      <w:r w:rsidRPr="001B22BF">
        <w:rPr>
          <w:rFonts w:eastAsia="Times New Roman"/>
          <w:color w:val="002060"/>
          <w:sz w:val="21"/>
          <w:szCs w:val="21"/>
        </w:rPr>
        <w:t xml:space="preserve"> initiative will help further our goals around high school graduation, post-secondary attainment, and advancing career prospects of our students. </w:t>
      </w:r>
    </w:p>
    <w:p w14:paraId="77670CCC" w14:textId="77777777" w:rsidR="001B22BF" w:rsidRPr="001B22BF" w:rsidRDefault="001B22BF" w:rsidP="001B22BF">
      <w:pPr>
        <w:ind w:left="360"/>
        <w:jc w:val="both"/>
        <w:rPr>
          <w:rFonts w:eastAsia="Times New Roman"/>
          <w:color w:val="002060"/>
          <w:sz w:val="21"/>
          <w:szCs w:val="21"/>
        </w:rPr>
      </w:pPr>
    </w:p>
    <w:p w14:paraId="4762F581" w14:textId="3772AAC3" w:rsidR="001B22BF" w:rsidRPr="001B22BF" w:rsidRDefault="001B22BF" w:rsidP="001B22BF">
      <w:pPr>
        <w:ind w:left="360"/>
        <w:jc w:val="both"/>
        <w:rPr>
          <w:rFonts w:eastAsia="Times New Roman"/>
          <w:color w:val="002060"/>
          <w:sz w:val="21"/>
          <w:szCs w:val="21"/>
        </w:rPr>
      </w:pPr>
      <w:r>
        <w:rPr>
          <w:rFonts w:eastAsia="Times New Roman"/>
          <w:color w:val="002060"/>
          <w:sz w:val="21"/>
          <w:szCs w:val="21"/>
        </w:rPr>
        <w:t>Additionally, t</w:t>
      </w:r>
      <w:r w:rsidRPr="001B22BF">
        <w:rPr>
          <w:rFonts w:eastAsia="Times New Roman"/>
          <w:color w:val="002060"/>
          <w:sz w:val="21"/>
          <w:szCs w:val="21"/>
        </w:rPr>
        <w:t>he new funding for the administration of the SAT citywide will help move us forward on our goal related to pos</w:t>
      </w:r>
      <w:r>
        <w:rPr>
          <w:rFonts w:eastAsia="Times New Roman"/>
          <w:color w:val="002060"/>
          <w:sz w:val="21"/>
          <w:szCs w:val="21"/>
        </w:rPr>
        <w:t xml:space="preserve">t-secondary </w:t>
      </w:r>
      <w:r w:rsidR="00FA57BA">
        <w:rPr>
          <w:rFonts w:eastAsia="Times New Roman"/>
          <w:color w:val="002060"/>
          <w:sz w:val="21"/>
          <w:szCs w:val="21"/>
        </w:rPr>
        <w:t>attainment.  Further,</w:t>
      </w:r>
      <w:r w:rsidRPr="001B22BF">
        <w:rPr>
          <w:rFonts w:eastAsia="Times New Roman"/>
          <w:color w:val="002060"/>
          <w:sz w:val="21"/>
          <w:szCs w:val="21"/>
        </w:rPr>
        <w:t xml:space="preserve"> OSSE is working in close collaboration with the Deputy Mayor for Education with regards to the launching of the District’s first ever re-engagement center which will support the re-enrollment of disconnected youth.   </w:t>
      </w:r>
    </w:p>
    <w:p w14:paraId="3A713865" w14:textId="77777777" w:rsidR="001B22BF" w:rsidRPr="001B22BF" w:rsidRDefault="001B22BF" w:rsidP="001B22BF">
      <w:pPr>
        <w:ind w:left="360"/>
        <w:jc w:val="both"/>
        <w:rPr>
          <w:rFonts w:eastAsia="Times New Roman"/>
          <w:color w:val="002060"/>
          <w:sz w:val="21"/>
          <w:szCs w:val="21"/>
        </w:rPr>
      </w:pPr>
    </w:p>
    <w:p w14:paraId="279821A3" w14:textId="450DBBA7" w:rsidR="001B22BF" w:rsidRPr="00FA57BA" w:rsidRDefault="001B22BF" w:rsidP="00661ED8">
      <w:pPr>
        <w:ind w:left="360"/>
        <w:jc w:val="both"/>
        <w:rPr>
          <w:rFonts w:eastAsia="Times New Roman"/>
          <w:color w:val="002060"/>
          <w:sz w:val="21"/>
          <w:szCs w:val="21"/>
        </w:rPr>
      </w:pPr>
      <w:r w:rsidRPr="001B22BF">
        <w:rPr>
          <w:rFonts w:eastAsia="Times New Roman"/>
          <w:color w:val="002060"/>
          <w:sz w:val="21"/>
          <w:szCs w:val="21"/>
        </w:rPr>
        <w:lastRenderedPageBreak/>
        <w:t>In addition to these enhancements, maintaining funding for our existing divisions will facilitate the continuation of key statewide work that has contributed to the recent improvements in educational outcomes.   </w:t>
      </w:r>
      <w:r w:rsidRPr="00FA57BA">
        <w:rPr>
          <w:rFonts w:eastAsia="Times New Roman"/>
          <w:color w:val="002060"/>
          <w:sz w:val="21"/>
          <w:szCs w:val="21"/>
        </w:rPr>
        <w:t>The budgets associated with OSSE’s Divisions of Elementary and Secondary Education, Specialized Education, Transportation, and Health and Wellness focus their efforts on the goals associated with 3rd grade reading, 8th grade math, and high school graduation.   These divisions support these goals through a myriad of programs and services, including:</w:t>
      </w:r>
    </w:p>
    <w:p w14:paraId="3AE4D414" w14:textId="77777777" w:rsidR="00FA57BA" w:rsidRDefault="001B22BF" w:rsidP="00661ED8">
      <w:pPr>
        <w:numPr>
          <w:ilvl w:val="0"/>
          <w:numId w:val="37"/>
        </w:numPr>
        <w:ind w:left="360" w:firstLine="0"/>
        <w:jc w:val="both"/>
        <w:rPr>
          <w:rFonts w:eastAsia="Times New Roman"/>
          <w:color w:val="002060"/>
          <w:sz w:val="21"/>
          <w:szCs w:val="21"/>
        </w:rPr>
      </w:pPr>
      <w:r w:rsidRPr="00FA57BA">
        <w:rPr>
          <w:rFonts w:eastAsia="Times New Roman"/>
          <w:color w:val="002060"/>
          <w:sz w:val="21"/>
          <w:szCs w:val="21"/>
        </w:rPr>
        <w:t xml:space="preserve">The implementation of our recognition, accountability, and support system laid out by the ESEA </w:t>
      </w:r>
    </w:p>
    <w:p w14:paraId="124F4375" w14:textId="77A8D802" w:rsidR="001B22BF" w:rsidRPr="00FA57BA" w:rsidRDefault="001B22BF" w:rsidP="00661ED8">
      <w:pPr>
        <w:ind w:left="360" w:firstLine="360"/>
        <w:jc w:val="both"/>
        <w:rPr>
          <w:rFonts w:eastAsia="Times New Roman"/>
          <w:color w:val="002060"/>
          <w:sz w:val="21"/>
          <w:szCs w:val="21"/>
        </w:rPr>
      </w:pPr>
      <w:r w:rsidRPr="00FA57BA">
        <w:rPr>
          <w:rFonts w:eastAsia="Times New Roman"/>
          <w:color w:val="002060"/>
          <w:sz w:val="21"/>
          <w:szCs w:val="21"/>
        </w:rPr>
        <w:t>Waiver; </w:t>
      </w:r>
    </w:p>
    <w:p w14:paraId="05DB9FCC" w14:textId="77777777" w:rsidR="001B22BF" w:rsidRPr="00FA57BA" w:rsidRDefault="001B22BF" w:rsidP="00661ED8">
      <w:pPr>
        <w:numPr>
          <w:ilvl w:val="0"/>
          <w:numId w:val="37"/>
        </w:numPr>
        <w:ind w:left="360" w:firstLine="0"/>
        <w:jc w:val="both"/>
        <w:rPr>
          <w:rFonts w:eastAsia="Times New Roman"/>
          <w:color w:val="002060"/>
          <w:sz w:val="21"/>
          <w:szCs w:val="21"/>
        </w:rPr>
      </w:pPr>
      <w:r w:rsidRPr="00FA57BA">
        <w:rPr>
          <w:rFonts w:eastAsia="Times New Roman"/>
          <w:color w:val="002060"/>
          <w:sz w:val="21"/>
          <w:szCs w:val="21"/>
        </w:rPr>
        <w:t>The licensure and professional development of DC teachers;</w:t>
      </w:r>
    </w:p>
    <w:p w14:paraId="558E02BD" w14:textId="77777777" w:rsidR="001B22BF" w:rsidRPr="00FA57BA" w:rsidRDefault="001B22BF" w:rsidP="00661ED8">
      <w:pPr>
        <w:numPr>
          <w:ilvl w:val="0"/>
          <w:numId w:val="37"/>
        </w:numPr>
        <w:ind w:left="360" w:firstLine="0"/>
        <w:jc w:val="both"/>
        <w:rPr>
          <w:rFonts w:eastAsia="Times New Roman"/>
          <w:color w:val="002060"/>
          <w:sz w:val="21"/>
          <w:szCs w:val="21"/>
        </w:rPr>
      </w:pPr>
      <w:r w:rsidRPr="00FA57BA">
        <w:rPr>
          <w:rFonts w:eastAsia="Times New Roman"/>
          <w:color w:val="002060"/>
          <w:sz w:val="21"/>
          <w:szCs w:val="21"/>
        </w:rPr>
        <w:t>The provision of nutritious meals to DC students; </w:t>
      </w:r>
    </w:p>
    <w:p w14:paraId="440BFE40" w14:textId="77777777" w:rsidR="001B22BF" w:rsidRPr="00FA57BA" w:rsidRDefault="001B22BF" w:rsidP="00661ED8">
      <w:pPr>
        <w:numPr>
          <w:ilvl w:val="0"/>
          <w:numId w:val="37"/>
        </w:numPr>
        <w:ind w:left="360" w:firstLine="0"/>
        <w:jc w:val="both"/>
        <w:rPr>
          <w:rFonts w:eastAsia="Times New Roman"/>
          <w:color w:val="002060"/>
          <w:sz w:val="21"/>
          <w:szCs w:val="21"/>
        </w:rPr>
      </w:pPr>
      <w:r w:rsidRPr="00FA57BA">
        <w:rPr>
          <w:rFonts w:eastAsia="Times New Roman"/>
          <w:color w:val="002060"/>
          <w:sz w:val="21"/>
          <w:szCs w:val="21"/>
        </w:rPr>
        <w:t>The disbursement, guidance, and monitoring of federal grants to LEAs; </w:t>
      </w:r>
    </w:p>
    <w:p w14:paraId="3A381715" w14:textId="77777777" w:rsidR="00FA57BA" w:rsidRDefault="001B22BF" w:rsidP="00661ED8">
      <w:pPr>
        <w:numPr>
          <w:ilvl w:val="0"/>
          <w:numId w:val="37"/>
        </w:numPr>
        <w:ind w:left="360" w:firstLine="0"/>
        <w:jc w:val="both"/>
        <w:rPr>
          <w:rFonts w:eastAsia="Times New Roman"/>
          <w:color w:val="002060"/>
          <w:sz w:val="21"/>
          <w:szCs w:val="21"/>
        </w:rPr>
      </w:pPr>
      <w:r w:rsidRPr="00FA57BA">
        <w:rPr>
          <w:rFonts w:eastAsia="Times New Roman"/>
          <w:color w:val="002060"/>
          <w:sz w:val="21"/>
          <w:szCs w:val="21"/>
        </w:rPr>
        <w:t xml:space="preserve">The monitoring of LEA implementation of IEPs and the direct provision of transportation services </w:t>
      </w:r>
    </w:p>
    <w:p w14:paraId="1B25C52E" w14:textId="14DA4D6F" w:rsidR="001B22BF" w:rsidRPr="00FA57BA" w:rsidRDefault="001B22BF" w:rsidP="00661ED8">
      <w:pPr>
        <w:ind w:left="360" w:firstLine="360"/>
        <w:jc w:val="both"/>
        <w:rPr>
          <w:rFonts w:eastAsia="Times New Roman"/>
          <w:color w:val="002060"/>
          <w:sz w:val="21"/>
          <w:szCs w:val="21"/>
        </w:rPr>
      </w:pPr>
      <w:proofErr w:type="gramStart"/>
      <w:r w:rsidRPr="00FA57BA">
        <w:rPr>
          <w:rFonts w:eastAsia="Times New Roman"/>
          <w:color w:val="002060"/>
          <w:sz w:val="21"/>
          <w:szCs w:val="21"/>
        </w:rPr>
        <w:t>included</w:t>
      </w:r>
      <w:proofErr w:type="gramEnd"/>
      <w:r w:rsidRPr="00FA57BA">
        <w:rPr>
          <w:rFonts w:eastAsia="Times New Roman"/>
          <w:color w:val="002060"/>
          <w:sz w:val="21"/>
          <w:szCs w:val="21"/>
        </w:rPr>
        <w:t xml:space="preserve"> in IEPs. </w:t>
      </w:r>
    </w:p>
    <w:p w14:paraId="4A1F6477" w14:textId="77777777" w:rsidR="00661ED8" w:rsidRDefault="00661ED8" w:rsidP="00661ED8">
      <w:pPr>
        <w:ind w:left="360"/>
        <w:jc w:val="both"/>
        <w:rPr>
          <w:rFonts w:eastAsia="Times New Roman"/>
          <w:color w:val="002060"/>
          <w:sz w:val="21"/>
          <w:szCs w:val="21"/>
        </w:rPr>
      </w:pPr>
    </w:p>
    <w:p w14:paraId="130A26B8" w14:textId="77777777" w:rsidR="001B22BF" w:rsidRPr="00FA57BA" w:rsidRDefault="001B22BF" w:rsidP="00661ED8">
      <w:pPr>
        <w:ind w:left="360"/>
        <w:jc w:val="both"/>
        <w:rPr>
          <w:rFonts w:eastAsia="Times New Roman"/>
          <w:color w:val="002060"/>
          <w:sz w:val="21"/>
          <w:szCs w:val="21"/>
        </w:rPr>
      </w:pPr>
      <w:r w:rsidRPr="00FA57BA">
        <w:rPr>
          <w:rFonts w:eastAsia="Times New Roman"/>
          <w:color w:val="002060"/>
          <w:sz w:val="21"/>
          <w:szCs w:val="21"/>
        </w:rPr>
        <w:t>Furthermore our Divisions of Postsecondary and Adult and Career Education will continue to target their efforts on our goals associated with postsecondary attainment, career preparation, and re-engaging disconnected youth.  This will be done through the following services:</w:t>
      </w:r>
    </w:p>
    <w:p w14:paraId="51746929" w14:textId="77777777" w:rsidR="007E30EC" w:rsidRDefault="001B22BF" w:rsidP="007E30EC">
      <w:pPr>
        <w:numPr>
          <w:ilvl w:val="0"/>
          <w:numId w:val="38"/>
        </w:numPr>
        <w:ind w:left="360" w:firstLine="0"/>
        <w:jc w:val="both"/>
        <w:rPr>
          <w:rFonts w:eastAsia="Times New Roman"/>
          <w:color w:val="002060"/>
          <w:sz w:val="21"/>
          <w:szCs w:val="21"/>
        </w:rPr>
      </w:pPr>
      <w:r w:rsidRPr="00FA57BA">
        <w:rPr>
          <w:rFonts w:eastAsia="Times New Roman"/>
          <w:color w:val="002060"/>
          <w:sz w:val="21"/>
          <w:szCs w:val="21"/>
        </w:rPr>
        <w:t xml:space="preserve">Providing direct support to DC post-secondary students through DC TAG and other financial aid </w:t>
      </w:r>
    </w:p>
    <w:p w14:paraId="077C0C62" w14:textId="79F3229B" w:rsidR="001B22BF" w:rsidRPr="007E30EC" w:rsidRDefault="001B22BF" w:rsidP="007E30EC">
      <w:pPr>
        <w:ind w:left="360" w:firstLine="360"/>
        <w:jc w:val="both"/>
        <w:rPr>
          <w:rFonts w:eastAsia="Times New Roman"/>
          <w:color w:val="002060"/>
          <w:sz w:val="21"/>
          <w:szCs w:val="21"/>
        </w:rPr>
      </w:pPr>
      <w:proofErr w:type="gramStart"/>
      <w:r w:rsidRPr="007E30EC">
        <w:rPr>
          <w:rFonts w:eastAsia="Times New Roman"/>
          <w:color w:val="002060"/>
          <w:sz w:val="21"/>
          <w:szCs w:val="21"/>
        </w:rPr>
        <w:t>initiatives</w:t>
      </w:r>
      <w:proofErr w:type="gramEnd"/>
      <w:r w:rsidRPr="007E30EC">
        <w:rPr>
          <w:rFonts w:eastAsia="Times New Roman"/>
          <w:color w:val="002060"/>
          <w:sz w:val="21"/>
          <w:szCs w:val="21"/>
        </w:rPr>
        <w:t>; </w:t>
      </w:r>
    </w:p>
    <w:p w14:paraId="3CF3AD2C" w14:textId="77777777" w:rsidR="001B22BF" w:rsidRPr="00FA57BA" w:rsidRDefault="001B22BF" w:rsidP="00905B0C">
      <w:pPr>
        <w:numPr>
          <w:ilvl w:val="0"/>
          <w:numId w:val="38"/>
        </w:numPr>
        <w:jc w:val="both"/>
        <w:rPr>
          <w:rFonts w:eastAsia="Times New Roman"/>
          <w:color w:val="002060"/>
          <w:sz w:val="21"/>
          <w:szCs w:val="21"/>
        </w:rPr>
      </w:pPr>
      <w:r w:rsidRPr="00FA57BA">
        <w:rPr>
          <w:rFonts w:eastAsia="Times New Roman"/>
          <w:color w:val="002060"/>
          <w:sz w:val="21"/>
          <w:szCs w:val="21"/>
        </w:rPr>
        <w:t>Funding adult education services, Microsoft IT Academies, and GED preparation programs in collaboration with naturally aligned government and CBO partners; and </w:t>
      </w:r>
    </w:p>
    <w:p w14:paraId="7F004D29" w14:textId="77777777" w:rsidR="00905B0C" w:rsidRDefault="001B22BF" w:rsidP="00905B0C">
      <w:pPr>
        <w:numPr>
          <w:ilvl w:val="0"/>
          <w:numId w:val="38"/>
        </w:numPr>
        <w:ind w:left="360" w:firstLine="0"/>
        <w:jc w:val="both"/>
        <w:rPr>
          <w:rFonts w:eastAsia="Times New Roman"/>
          <w:color w:val="002060"/>
          <w:sz w:val="21"/>
          <w:szCs w:val="21"/>
        </w:rPr>
      </w:pPr>
      <w:r w:rsidRPr="00FA57BA">
        <w:rPr>
          <w:rFonts w:eastAsia="Times New Roman"/>
          <w:color w:val="002060"/>
          <w:sz w:val="21"/>
          <w:szCs w:val="21"/>
        </w:rPr>
        <w:t xml:space="preserve">Disbursing the federal Perkins funding for CTE </w:t>
      </w:r>
    </w:p>
    <w:p w14:paraId="2DDA3CC3" w14:textId="77777777" w:rsidR="00905B0C" w:rsidRDefault="00905B0C" w:rsidP="00905B0C">
      <w:pPr>
        <w:ind w:left="360"/>
        <w:jc w:val="both"/>
        <w:rPr>
          <w:rFonts w:eastAsia="Times New Roman"/>
          <w:color w:val="002060"/>
          <w:sz w:val="21"/>
          <w:szCs w:val="21"/>
        </w:rPr>
      </w:pPr>
    </w:p>
    <w:p w14:paraId="2E4B982E" w14:textId="499D2D28" w:rsidR="001B22BF" w:rsidRPr="00FA57BA" w:rsidRDefault="001B22BF" w:rsidP="00905B0C">
      <w:pPr>
        <w:ind w:left="360"/>
        <w:jc w:val="both"/>
        <w:rPr>
          <w:rFonts w:eastAsia="Times New Roman"/>
          <w:color w:val="002060"/>
          <w:sz w:val="21"/>
          <w:szCs w:val="21"/>
        </w:rPr>
      </w:pPr>
      <w:r w:rsidRPr="00FA57BA">
        <w:rPr>
          <w:rFonts w:eastAsia="Times New Roman"/>
          <w:color w:val="002060"/>
          <w:sz w:val="21"/>
          <w:szCs w:val="21"/>
        </w:rPr>
        <w:t>Finally, OSSE’s support divisions, including the departments under the Office of the Chief Operating Officer, the Office of the Chief Information Officer, and the Office of the Director support all the goals stated above through providing administrative support, grants management, data and research, communications, and priority setting.  </w:t>
      </w:r>
    </w:p>
    <w:p w14:paraId="2519F953" w14:textId="77777777" w:rsidR="001B22BF" w:rsidRDefault="001B22BF" w:rsidP="00451283">
      <w:pPr>
        <w:jc w:val="both"/>
        <w:rPr>
          <w:rFonts w:ascii="Times New Roman" w:hAnsi="Times New Roman" w:cs="Times New Roman"/>
          <w:sz w:val="24"/>
          <w:szCs w:val="24"/>
        </w:rPr>
      </w:pPr>
    </w:p>
    <w:p w14:paraId="4685C357"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For OSSE, Special Ed Transportation, and Non-Public Tuition, please provide the following: </w:t>
      </w:r>
    </w:p>
    <w:p w14:paraId="14A3C65C" w14:textId="77777777" w:rsidR="004464EE" w:rsidRDefault="004464EE" w:rsidP="005E6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FY14 budget, approved, revised and YTD actuals, by source of funds and by lowest PBB structure level (service).  In addition, please provide a breakdown of the information by CSG and include associated FTEs.  (i.e. CFO SOAR budget load)</w:t>
      </w:r>
    </w:p>
    <w:p w14:paraId="69FD8485" w14:textId="77777777" w:rsidR="004464EE" w:rsidRDefault="004464EE" w:rsidP="005E6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FY15 budget, as proposed, by source of funds and by lowest org level (level 4) and by lowest PBB structure level (service).  In addition, please provide a breakdown of the information by CSG and include associated FTEs.  (i.e. CFO SOAR budget load)</w:t>
      </w:r>
    </w:p>
    <w:p w14:paraId="3DD1DEFF" w14:textId="77777777" w:rsidR="004464EE" w:rsidRDefault="004464EE" w:rsidP="005E66A0">
      <w:pPr>
        <w:pStyle w:val="ListParagraph"/>
        <w:jc w:val="both"/>
        <w:rPr>
          <w:rFonts w:ascii="Times New Roman" w:hAnsi="Times New Roman" w:cs="Times New Roman"/>
          <w:sz w:val="24"/>
          <w:szCs w:val="24"/>
        </w:rPr>
      </w:pPr>
    </w:p>
    <w:p w14:paraId="3764C011" w14:textId="77777777" w:rsidR="001E5EDD" w:rsidRPr="00B84FBD" w:rsidRDefault="001E5EDD" w:rsidP="00B84FBD">
      <w:pPr>
        <w:ind w:firstLine="720"/>
        <w:jc w:val="both"/>
        <w:rPr>
          <w:rFonts w:ascii="Times New Roman" w:hAnsi="Times New Roman" w:cs="Times New Roman"/>
          <w:sz w:val="24"/>
          <w:szCs w:val="24"/>
        </w:rPr>
      </w:pPr>
      <w:r w:rsidRPr="00B84FBD">
        <w:rPr>
          <w:rFonts w:asciiTheme="minorHAnsi" w:hAnsiTheme="minorHAnsi" w:cs="Times New Roman"/>
          <w:color w:val="002060"/>
        </w:rPr>
        <w:t xml:space="preserve">Please see </w:t>
      </w:r>
      <w:r w:rsidRPr="00F63FDA">
        <w:rPr>
          <w:rFonts w:asciiTheme="minorHAnsi" w:hAnsiTheme="minorHAnsi" w:cs="Times New Roman"/>
          <w:color w:val="002060"/>
        </w:rPr>
        <w:t>Attachment 1</w:t>
      </w:r>
      <w:r w:rsidR="00B84FBD" w:rsidRPr="00F63FDA">
        <w:rPr>
          <w:rFonts w:ascii="Times New Roman" w:hAnsi="Times New Roman" w:cs="Times New Roman"/>
          <w:sz w:val="24"/>
          <w:szCs w:val="24"/>
        </w:rPr>
        <w:t>.</w:t>
      </w:r>
    </w:p>
    <w:p w14:paraId="2F292771" w14:textId="77777777" w:rsidR="00A815B9" w:rsidRDefault="00A815B9" w:rsidP="005E66A0">
      <w:pPr>
        <w:pStyle w:val="ListParagraph"/>
        <w:jc w:val="both"/>
        <w:rPr>
          <w:rFonts w:ascii="Times New Roman" w:hAnsi="Times New Roman" w:cs="Times New Roman"/>
          <w:sz w:val="24"/>
          <w:szCs w:val="24"/>
        </w:rPr>
      </w:pPr>
    </w:p>
    <w:p w14:paraId="58DAD6AB"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Please provide a narrative explanation of how OSSE developed the proposed FY15 budget for non-public tuition including supporting documentation/analysis.  In addition, please provide the following:</w:t>
      </w:r>
    </w:p>
    <w:p w14:paraId="5E6A35EF" w14:textId="77777777" w:rsidR="004464EE" w:rsidRDefault="004464EE" w:rsidP="005E66A0">
      <w:pPr>
        <w:pStyle w:val="ListParagraph"/>
        <w:numPr>
          <w:ilvl w:val="0"/>
          <w:numId w:val="3"/>
        </w:num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For FY13: The list of all non-public institutions that received funding from non-public tuition, the number of students served by each institution in FY13, and actual payments made per student by institution </w:t>
      </w:r>
    </w:p>
    <w:p w14:paraId="2BA40D88" w14:textId="77777777" w:rsidR="004464EE" w:rsidRDefault="004464EE" w:rsidP="005E66A0">
      <w:pPr>
        <w:pStyle w:val="ListParagraph"/>
        <w:numPr>
          <w:ilvl w:val="0"/>
          <w:numId w:val="3"/>
        </w:num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For FY14: The list of all non-public institutions that receive funding from non-public tuition, the number of students served by each institution in FY14, amount budgeted per student per institution for FY14 and actual payments made to date per student by institution </w:t>
      </w:r>
    </w:p>
    <w:p w14:paraId="4FA7EFF9" w14:textId="77777777" w:rsidR="004464EE" w:rsidRDefault="004464EE" w:rsidP="005E66A0">
      <w:pPr>
        <w:pStyle w:val="ListParagraph"/>
        <w:numPr>
          <w:ilvl w:val="0"/>
          <w:numId w:val="3"/>
        </w:numPr>
        <w:autoSpaceDE w:val="0"/>
        <w:autoSpaceDN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For FY15: The list of all non-public institutions that are projected to receive funding from non-public tuition, the projected number of students to be served by each institution in FY15, and projected payment for FY15 per student by institution </w:t>
      </w:r>
    </w:p>
    <w:p w14:paraId="78AE0DED" w14:textId="77777777" w:rsidR="004464EE" w:rsidRDefault="004464EE" w:rsidP="005E66A0">
      <w:pPr>
        <w:autoSpaceDE w:val="0"/>
        <w:autoSpaceDN w:val="0"/>
        <w:jc w:val="both"/>
        <w:rPr>
          <w:rFonts w:ascii="Times New Roman" w:hAnsi="Times New Roman" w:cs="Times New Roman"/>
          <w:sz w:val="24"/>
          <w:szCs w:val="24"/>
        </w:rPr>
      </w:pPr>
    </w:p>
    <w:p w14:paraId="48594192" w14:textId="74623BEB" w:rsidR="005B6920" w:rsidRPr="00402133" w:rsidRDefault="005B6920" w:rsidP="005E66A0">
      <w:pPr>
        <w:pStyle w:val="ListParagraph"/>
        <w:ind w:left="360"/>
        <w:jc w:val="both"/>
        <w:rPr>
          <w:rFonts w:asciiTheme="minorHAnsi" w:hAnsiTheme="minorHAnsi" w:cs="Times New Roman"/>
          <w:color w:val="002060"/>
        </w:rPr>
      </w:pPr>
      <w:r w:rsidRPr="00402133">
        <w:rPr>
          <w:rFonts w:asciiTheme="minorHAnsi" w:hAnsiTheme="minorHAnsi" w:cs="Times New Roman"/>
          <w:color w:val="002060"/>
        </w:rPr>
        <w:t>In developing the proposed budget for non-public tuiti</w:t>
      </w:r>
      <w:r w:rsidR="00D8633D">
        <w:rPr>
          <w:rFonts w:asciiTheme="minorHAnsi" w:hAnsiTheme="minorHAnsi" w:cs="Times New Roman"/>
          <w:color w:val="002060"/>
        </w:rPr>
        <w:t>on, OSSE provides</w:t>
      </w:r>
      <w:r w:rsidRPr="00402133">
        <w:rPr>
          <w:rFonts w:asciiTheme="minorHAnsi" w:hAnsiTheme="minorHAnsi" w:cs="Times New Roman"/>
          <w:color w:val="002060"/>
        </w:rPr>
        <w:t xml:space="preserve"> projected student and</w:t>
      </w:r>
      <w:r w:rsidR="00B856B4">
        <w:rPr>
          <w:rFonts w:asciiTheme="minorHAnsi" w:hAnsiTheme="minorHAnsi" w:cs="Times New Roman"/>
          <w:color w:val="002060"/>
        </w:rPr>
        <w:t xml:space="preserve"> administrative level </w:t>
      </w:r>
      <w:r w:rsidRPr="00402133">
        <w:rPr>
          <w:rFonts w:asciiTheme="minorHAnsi" w:hAnsiTheme="minorHAnsi" w:cs="Times New Roman"/>
          <w:color w:val="002060"/>
        </w:rPr>
        <w:t>expenditures on an annual basis</w:t>
      </w:r>
      <w:r w:rsidR="00BD79C8">
        <w:rPr>
          <w:rFonts w:asciiTheme="minorHAnsi" w:hAnsiTheme="minorHAnsi" w:cs="Times New Roman"/>
          <w:color w:val="002060"/>
        </w:rPr>
        <w:t xml:space="preserve"> to OCFO, and </w:t>
      </w:r>
      <w:r w:rsidRPr="00402133">
        <w:rPr>
          <w:rFonts w:asciiTheme="minorHAnsi" w:hAnsiTheme="minorHAnsi" w:cs="Times New Roman"/>
          <w:color w:val="002060"/>
        </w:rPr>
        <w:t>the OCFO uses</w:t>
      </w:r>
      <w:r w:rsidR="00BD79C8">
        <w:rPr>
          <w:rFonts w:asciiTheme="minorHAnsi" w:hAnsiTheme="minorHAnsi" w:cs="Times New Roman"/>
          <w:color w:val="002060"/>
        </w:rPr>
        <w:t xml:space="preserve"> this data and</w:t>
      </w:r>
      <w:r w:rsidRPr="00402133">
        <w:rPr>
          <w:rFonts w:asciiTheme="minorHAnsi" w:hAnsiTheme="minorHAnsi" w:cs="Times New Roman"/>
          <w:color w:val="002060"/>
        </w:rPr>
        <w:t xml:space="preserve"> prior years’ data to project expenditures.  For FY13 and FY14, please see </w:t>
      </w:r>
      <w:r w:rsidR="00AE5F56" w:rsidRPr="006F62A0">
        <w:rPr>
          <w:rFonts w:asciiTheme="minorHAnsi" w:hAnsiTheme="minorHAnsi" w:cs="Times New Roman"/>
          <w:b/>
          <w:color w:val="002060"/>
        </w:rPr>
        <w:t>Attachment 2</w:t>
      </w:r>
      <w:r w:rsidRPr="006F62A0">
        <w:rPr>
          <w:rFonts w:asciiTheme="minorHAnsi" w:hAnsiTheme="minorHAnsi" w:cs="Times New Roman"/>
          <w:color w:val="002060"/>
        </w:rPr>
        <w:t>.</w:t>
      </w:r>
      <w:r w:rsidR="00F2196B" w:rsidRPr="00402133">
        <w:rPr>
          <w:rFonts w:asciiTheme="minorHAnsi" w:hAnsiTheme="minorHAnsi" w:cs="Times New Roman"/>
          <w:color w:val="002060"/>
        </w:rPr>
        <w:t xml:space="preserve">  With regard to FY15, </w:t>
      </w:r>
      <w:r w:rsidR="002954D0" w:rsidRPr="00402133">
        <w:rPr>
          <w:rFonts w:asciiTheme="minorHAnsi" w:hAnsiTheme="minorHAnsi" w:cs="Times New Roman"/>
          <w:color w:val="002060"/>
        </w:rPr>
        <w:t xml:space="preserve">OSSE payments to nonpublic institutions </w:t>
      </w:r>
      <w:r w:rsidR="00D01706">
        <w:rPr>
          <w:rFonts w:asciiTheme="minorHAnsi" w:hAnsiTheme="minorHAnsi" w:cs="Times New Roman"/>
          <w:color w:val="002060"/>
        </w:rPr>
        <w:t>will be</w:t>
      </w:r>
      <w:r w:rsidR="00D01706" w:rsidRPr="00402133">
        <w:rPr>
          <w:rFonts w:asciiTheme="minorHAnsi" w:hAnsiTheme="minorHAnsi" w:cs="Times New Roman"/>
          <w:color w:val="002060"/>
        </w:rPr>
        <w:t xml:space="preserve"> </w:t>
      </w:r>
      <w:r w:rsidR="002954D0" w:rsidRPr="00402133">
        <w:rPr>
          <w:rFonts w:asciiTheme="minorHAnsi" w:hAnsiTheme="minorHAnsi" w:cs="Times New Roman"/>
          <w:color w:val="002060"/>
        </w:rPr>
        <w:t>driven by student placements into those institutions</w:t>
      </w:r>
      <w:r w:rsidR="006C1FC4">
        <w:rPr>
          <w:rFonts w:asciiTheme="minorHAnsi" w:hAnsiTheme="minorHAnsi" w:cs="Times New Roman"/>
          <w:color w:val="002060"/>
        </w:rPr>
        <w:t xml:space="preserve">. </w:t>
      </w:r>
      <w:r w:rsidR="002954D0" w:rsidRPr="00402133">
        <w:rPr>
          <w:rFonts w:asciiTheme="minorHAnsi" w:hAnsiTheme="minorHAnsi" w:cs="Times New Roman"/>
          <w:color w:val="002060"/>
        </w:rPr>
        <w:t xml:space="preserve"> OSSE anticipates that the institutions listed in FY 13 and FY14 will continue to serve DC students, unless the institution’s Certificate of Approval status changes</w:t>
      </w:r>
      <w:r w:rsidR="00D01706">
        <w:rPr>
          <w:rFonts w:asciiTheme="minorHAnsi" w:hAnsiTheme="minorHAnsi" w:cs="Times New Roman"/>
          <w:color w:val="002060"/>
        </w:rPr>
        <w:t>, or unless placement changes are made with individual students attending those institutions</w:t>
      </w:r>
      <w:r w:rsidR="002954D0" w:rsidRPr="00402133">
        <w:rPr>
          <w:rFonts w:asciiTheme="minorHAnsi" w:hAnsiTheme="minorHAnsi" w:cs="Times New Roman"/>
          <w:color w:val="002060"/>
        </w:rPr>
        <w:t>.</w:t>
      </w:r>
      <w:r w:rsidR="00D01706">
        <w:rPr>
          <w:rFonts w:asciiTheme="minorHAnsi" w:hAnsiTheme="minorHAnsi" w:cs="Times New Roman"/>
          <w:color w:val="002060"/>
        </w:rPr>
        <w:t xml:space="preserve">  </w:t>
      </w:r>
    </w:p>
    <w:p w14:paraId="23355D46" w14:textId="77777777" w:rsidR="00860DEA" w:rsidRDefault="00860DEA" w:rsidP="005E66A0">
      <w:pPr>
        <w:autoSpaceDE w:val="0"/>
        <w:autoSpaceDN w:val="0"/>
        <w:jc w:val="both"/>
        <w:rPr>
          <w:rFonts w:ascii="Times New Roman" w:hAnsi="Times New Roman" w:cs="Times New Roman"/>
          <w:sz w:val="24"/>
          <w:szCs w:val="24"/>
        </w:rPr>
      </w:pPr>
    </w:p>
    <w:p w14:paraId="51481B19"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Please provide a narrative explanation of how OSSE developed the proposed FY15 budget for special education transportation, including supporting documentation/analysis.  In addition, please provide the following:</w:t>
      </w:r>
    </w:p>
    <w:p w14:paraId="564471A9" w14:textId="77777777" w:rsidR="004464EE" w:rsidRDefault="004464EE" w:rsidP="005E66A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For FY13: the list of special education transportation  routes, the number of students served per route, and the actual cost of each student route</w:t>
      </w:r>
    </w:p>
    <w:p w14:paraId="1AC94999" w14:textId="77777777" w:rsidR="004464EE" w:rsidRDefault="004464EE" w:rsidP="005E66A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For FY14: the list of special education transportation  routes, the number of students served per route, the budgeted cost per student per route and the projected actual cost per student per route</w:t>
      </w:r>
    </w:p>
    <w:p w14:paraId="371926F5" w14:textId="77777777" w:rsidR="004464EE" w:rsidRDefault="004464EE" w:rsidP="005E66A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For FY15: the projected list of special education transportation  routes, the projected number of students served per route, and the projected cost per student per route</w:t>
      </w:r>
    </w:p>
    <w:p w14:paraId="5AF85D91" w14:textId="77777777" w:rsidR="00745138" w:rsidRDefault="00745138" w:rsidP="00745138">
      <w:pPr>
        <w:jc w:val="both"/>
        <w:rPr>
          <w:rFonts w:ascii="Times New Roman" w:hAnsi="Times New Roman" w:cs="Times New Roman"/>
          <w:sz w:val="24"/>
          <w:szCs w:val="24"/>
        </w:rPr>
      </w:pPr>
    </w:p>
    <w:p w14:paraId="052A7858" w14:textId="77777777" w:rsidR="002832B6" w:rsidRPr="00413899" w:rsidRDefault="002832B6" w:rsidP="003C5BD9">
      <w:pPr>
        <w:ind w:left="360"/>
        <w:jc w:val="both"/>
        <w:rPr>
          <w:rFonts w:asciiTheme="minorHAnsi" w:hAnsiTheme="minorHAnsi"/>
          <w:color w:val="002060"/>
        </w:rPr>
      </w:pPr>
      <w:r w:rsidRPr="00413899">
        <w:rPr>
          <w:rFonts w:asciiTheme="minorHAnsi" w:hAnsiTheme="minorHAnsi"/>
          <w:color w:val="002060"/>
        </w:rPr>
        <w:t>The primary</w:t>
      </w:r>
      <w:r w:rsidR="001F7A45" w:rsidRPr="00413899">
        <w:rPr>
          <w:rFonts w:asciiTheme="minorHAnsi" w:hAnsiTheme="minorHAnsi"/>
          <w:color w:val="002060"/>
        </w:rPr>
        <w:t xml:space="preserve"> cost driver for OSSE-DOT is</w:t>
      </w:r>
      <w:r w:rsidRPr="00413899">
        <w:rPr>
          <w:rFonts w:asciiTheme="minorHAnsi" w:hAnsiTheme="minorHAnsi"/>
          <w:color w:val="002060"/>
        </w:rPr>
        <w:t xml:space="preserve"> school bus route</w:t>
      </w:r>
      <w:r w:rsidR="001F7A45" w:rsidRPr="00413899">
        <w:rPr>
          <w:rFonts w:asciiTheme="minorHAnsi" w:hAnsiTheme="minorHAnsi"/>
          <w:color w:val="002060"/>
        </w:rPr>
        <w:t xml:space="preserve">s.  </w:t>
      </w:r>
      <w:r w:rsidR="003C5BD9" w:rsidRPr="00413899">
        <w:rPr>
          <w:rFonts w:asciiTheme="minorHAnsi" w:hAnsiTheme="minorHAnsi"/>
          <w:color w:val="002060"/>
        </w:rPr>
        <w:t xml:space="preserve">OSSE-DOT projects an FY15 need of 590 routes to ensure compliance with Federal law governing special education transportation. </w:t>
      </w:r>
      <w:r w:rsidR="001F7A45" w:rsidRPr="00413899">
        <w:rPr>
          <w:rFonts w:asciiTheme="minorHAnsi" w:hAnsiTheme="minorHAnsi"/>
          <w:color w:val="002060"/>
        </w:rPr>
        <w:t>Additionally, i</w:t>
      </w:r>
      <w:r w:rsidRPr="00413899">
        <w:rPr>
          <w:rFonts w:asciiTheme="minorHAnsi" w:hAnsiTheme="minorHAnsi"/>
          <w:color w:val="002060"/>
        </w:rPr>
        <w:t>n developing the FY15 budget for special education transportation, OSSE-DOT considered variable and fixed costs, such as:</w:t>
      </w:r>
    </w:p>
    <w:p w14:paraId="49577453" w14:textId="77777777" w:rsidR="002832B6" w:rsidRPr="00413899" w:rsidRDefault="002832B6" w:rsidP="002832B6">
      <w:pPr>
        <w:ind w:left="720"/>
        <w:rPr>
          <w:rFonts w:asciiTheme="minorHAnsi" w:hAnsiTheme="minorHAnsi"/>
          <w:color w:val="002060"/>
        </w:rPr>
      </w:pPr>
    </w:p>
    <w:p w14:paraId="3B16825F" w14:textId="77777777" w:rsidR="002832B6" w:rsidRPr="00D177F9" w:rsidRDefault="002832B6" w:rsidP="002832B6">
      <w:pPr>
        <w:pStyle w:val="ListParagraph"/>
        <w:numPr>
          <w:ilvl w:val="0"/>
          <w:numId w:val="32"/>
        </w:numPr>
        <w:ind w:hanging="1080"/>
        <w:rPr>
          <w:rFonts w:asciiTheme="minorHAnsi" w:hAnsiTheme="minorHAnsi"/>
          <w:color w:val="002060"/>
        </w:rPr>
      </w:pPr>
      <w:r w:rsidRPr="00D177F9">
        <w:rPr>
          <w:rFonts w:asciiTheme="minorHAnsi" w:hAnsiTheme="minorHAnsi"/>
          <w:color w:val="002060"/>
        </w:rPr>
        <w:t>historical ridership and route trends</w:t>
      </w:r>
    </w:p>
    <w:p w14:paraId="699457C4" w14:textId="77777777" w:rsidR="002832B6" w:rsidRPr="00D177F9" w:rsidRDefault="002832B6" w:rsidP="002832B6">
      <w:pPr>
        <w:pStyle w:val="ListParagraph"/>
        <w:numPr>
          <w:ilvl w:val="0"/>
          <w:numId w:val="32"/>
        </w:numPr>
        <w:ind w:hanging="1080"/>
        <w:rPr>
          <w:rFonts w:asciiTheme="minorHAnsi" w:hAnsiTheme="minorHAnsi"/>
          <w:color w:val="002060"/>
        </w:rPr>
      </w:pPr>
      <w:r w:rsidRPr="00D177F9">
        <w:rPr>
          <w:rFonts w:asciiTheme="minorHAnsi" w:hAnsiTheme="minorHAnsi"/>
          <w:color w:val="002060"/>
        </w:rPr>
        <w:t>collectively bargained wage increases</w:t>
      </w:r>
    </w:p>
    <w:p w14:paraId="7AF7F190" w14:textId="77777777" w:rsidR="002832B6" w:rsidRPr="00D177F9" w:rsidRDefault="002832B6" w:rsidP="002832B6">
      <w:pPr>
        <w:pStyle w:val="ListParagraph"/>
        <w:numPr>
          <w:ilvl w:val="0"/>
          <w:numId w:val="32"/>
        </w:numPr>
        <w:ind w:hanging="1080"/>
        <w:rPr>
          <w:rFonts w:asciiTheme="minorHAnsi" w:hAnsiTheme="minorHAnsi"/>
          <w:color w:val="002060"/>
        </w:rPr>
      </w:pPr>
      <w:r w:rsidRPr="00D177F9">
        <w:rPr>
          <w:rFonts w:asciiTheme="minorHAnsi" w:hAnsiTheme="minorHAnsi"/>
          <w:color w:val="002060"/>
        </w:rPr>
        <w:t>an increase in benefits costs</w:t>
      </w:r>
    </w:p>
    <w:p w14:paraId="14FB08B7" w14:textId="77777777" w:rsidR="002832B6" w:rsidRPr="00D177F9" w:rsidRDefault="002832B6" w:rsidP="002832B6">
      <w:pPr>
        <w:pStyle w:val="ListParagraph"/>
        <w:numPr>
          <w:ilvl w:val="0"/>
          <w:numId w:val="32"/>
        </w:numPr>
        <w:ind w:hanging="1080"/>
        <w:rPr>
          <w:rFonts w:asciiTheme="minorHAnsi" w:hAnsiTheme="minorHAnsi"/>
          <w:color w:val="002060"/>
        </w:rPr>
      </w:pPr>
      <w:r w:rsidRPr="00D177F9">
        <w:rPr>
          <w:rFonts w:asciiTheme="minorHAnsi" w:hAnsiTheme="minorHAnsi"/>
          <w:color w:val="002060"/>
        </w:rPr>
        <w:t>projected overtime costs</w:t>
      </w:r>
    </w:p>
    <w:p w14:paraId="7D8A216E" w14:textId="77777777" w:rsidR="002832B6" w:rsidRPr="00D177F9" w:rsidRDefault="002832B6" w:rsidP="002832B6">
      <w:pPr>
        <w:pStyle w:val="ListParagraph"/>
        <w:numPr>
          <w:ilvl w:val="0"/>
          <w:numId w:val="32"/>
        </w:numPr>
        <w:ind w:hanging="1080"/>
        <w:rPr>
          <w:rFonts w:asciiTheme="minorHAnsi" w:hAnsiTheme="minorHAnsi"/>
          <w:color w:val="002060"/>
        </w:rPr>
      </w:pPr>
      <w:r w:rsidRPr="00D177F9">
        <w:rPr>
          <w:rFonts w:asciiTheme="minorHAnsi" w:hAnsiTheme="minorHAnsi"/>
          <w:color w:val="002060"/>
        </w:rPr>
        <w:t>fuel and maintenance costs</w:t>
      </w:r>
    </w:p>
    <w:p w14:paraId="373167B5" w14:textId="77777777" w:rsidR="002832B6" w:rsidRPr="00D177F9" w:rsidRDefault="002832B6" w:rsidP="003C5BD9">
      <w:pPr>
        <w:pStyle w:val="ListParagraph"/>
        <w:numPr>
          <w:ilvl w:val="0"/>
          <w:numId w:val="32"/>
        </w:numPr>
        <w:ind w:hanging="1080"/>
        <w:rPr>
          <w:rFonts w:asciiTheme="minorHAnsi" w:hAnsiTheme="minorHAnsi"/>
          <w:color w:val="002060"/>
        </w:rPr>
      </w:pPr>
      <w:r w:rsidRPr="00D177F9">
        <w:rPr>
          <w:rFonts w:asciiTheme="minorHAnsi" w:hAnsiTheme="minorHAnsi"/>
          <w:color w:val="002060"/>
        </w:rPr>
        <w:t>facility leases, intra-district agreements and support service contracts</w:t>
      </w:r>
    </w:p>
    <w:p w14:paraId="42833E1B" w14:textId="77777777" w:rsidR="009D4725" w:rsidRPr="00D177F9" w:rsidRDefault="009D4725" w:rsidP="00EB49B3">
      <w:pPr>
        <w:jc w:val="both"/>
        <w:rPr>
          <w:rFonts w:asciiTheme="minorHAnsi" w:hAnsiTheme="minorHAnsi"/>
          <w:color w:val="002060"/>
        </w:rPr>
      </w:pPr>
    </w:p>
    <w:p w14:paraId="3FF27B28" w14:textId="77777777" w:rsidR="002832B6" w:rsidRPr="00D177F9" w:rsidRDefault="002832B6" w:rsidP="003C5BD9">
      <w:pPr>
        <w:ind w:left="360"/>
        <w:jc w:val="both"/>
        <w:rPr>
          <w:rFonts w:asciiTheme="minorHAnsi" w:hAnsiTheme="minorHAnsi"/>
          <w:color w:val="002060"/>
        </w:rPr>
      </w:pPr>
      <w:r w:rsidRPr="00D177F9">
        <w:rPr>
          <w:rFonts w:asciiTheme="minorHAnsi" w:hAnsiTheme="minorHAnsi"/>
          <w:color w:val="002060"/>
        </w:rPr>
        <w:t xml:space="preserve">The table below breaks out </w:t>
      </w:r>
      <w:r w:rsidR="00DD2EA8" w:rsidRPr="00D177F9">
        <w:rPr>
          <w:rFonts w:asciiTheme="minorHAnsi" w:hAnsiTheme="minorHAnsi"/>
          <w:color w:val="002060"/>
        </w:rPr>
        <w:t>OSSE-DOT’s projected costs for FY15:</w:t>
      </w:r>
    </w:p>
    <w:tbl>
      <w:tblPr>
        <w:tblW w:w="9025" w:type="dxa"/>
        <w:tblInd w:w="468" w:type="dxa"/>
        <w:tblLook w:val="04A0" w:firstRow="1" w:lastRow="0" w:firstColumn="1" w:lastColumn="0" w:noHBand="0" w:noVBand="1"/>
      </w:tblPr>
      <w:tblGrid>
        <w:gridCol w:w="6845"/>
        <w:gridCol w:w="2180"/>
      </w:tblGrid>
      <w:tr w:rsidR="00D177F9" w:rsidRPr="00D177F9" w14:paraId="1EA1B8AD" w14:textId="77777777" w:rsidTr="007965E2">
        <w:trPr>
          <w:trHeight w:val="300"/>
        </w:trPr>
        <w:tc>
          <w:tcPr>
            <w:tcW w:w="684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1FADFE" w14:textId="77777777" w:rsidR="007965E2" w:rsidRPr="00D177F9" w:rsidRDefault="007965E2" w:rsidP="002860D9">
            <w:pPr>
              <w:jc w:val="center"/>
              <w:rPr>
                <w:b/>
                <w:bCs/>
                <w:color w:val="002060"/>
                <w:sz w:val="20"/>
                <w:szCs w:val="20"/>
              </w:rPr>
            </w:pPr>
            <w:bookmarkStart w:id="0" w:name="RANGE!A1:B14"/>
            <w:r w:rsidRPr="00D177F9">
              <w:rPr>
                <w:b/>
                <w:bCs/>
                <w:color w:val="002060"/>
                <w:sz w:val="20"/>
                <w:szCs w:val="20"/>
              </w:rPr>
              <w:t>Category</w:t>
            </w:r>
            <w:bookmarkEnd w:id="0"/>
          </w:p>
        </w:tc>
        <w:tc>
          <w:tcPr>
            <w:tcW w:w="2180" w:type="dxa"/>
            <w:tcBorders>
              <w:top w:val="single" w:sz="4" w:space="0" w:color="auto"/>
              <w:left w:val="nil"/>
              <w:bottom w:val="single" w:sz="4" w:space="0" w:color="auto"/>
              <w:right w:val="single" w:sz="4" w:space="0" w:color="auto"/>
            </w:tcBorders>
            <w:shd w:val="clear" w:color="000000" w:fill="BFBFBF"/>
            <w:noWrap/>
            <w:vAlign w:val="bottom"/>
            <w:hideMark/>
          </w:tcPr>
          <w:p w14:paraId="2E62C80F" w14:textId="77777777" w:rsidR="007965E2" w:rsidRPr="00D177F9" w:rsidRDefault="007965E2" w:rsidP="002860D9">
            <w:pPr>
              <w:jc w:val="center"/>
              <w:rPr>
                <w:b/>
                <w:bCs/>
                <w:color w:val="002060"/>
                <w:sz w:val="20"/>
                <w:szCs w:val="20"/>
              </w:rPr>
            </w:pPr>
            <w:r w:rsidRPr="00D177F9">
              <w:rPr>
                <w:b/>
                <w:bCs/>
                <w:color w:val="002060"/>
                <w:sz w:val="20"/>
                <w:szCs w:val="20"/>
              </w:rPr>
              <w:t>FY15 Total Annual Cost</w:t>
            </w:r>
          </w:p>
        </w:tc>
      </w:tr>
      <w:tr w:rsidR="00D177F9" w:rsidRPr="00D177F9" w14:paraId="1B0DCABB" w14:textId="77777777" w:rsidTr="007965E2">
        <w:trPr>
          <w:trHeight w:val="30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3D36746D" w14:textId="77777777" w:rsidR="007965E2" w:rsidRPr="00D177F9" w:rsidRDefault="007965E2" w:rsidP="002860D9">
            <w:pPr>
              <w:rPr>
                <w:color w:val="002060"/>
                <w:sz w:val="20"/>
                <w:szCs w:val="20"/>
              </w:rPr>
            </w:pPr>
            <w:r w:rsidRPr="00D177F9">
              <w:rPr>
                <w:color w:val="002060"/>
                <w:sz w:val="20"/>
                <w:szCs w:val="20"/>
              </w:rPr>
              <w:t xml:space="preserve">CDL Driver </w:t>
            </w:r>
          </w:p>
        </w:tc>
        <w:tc>
          <w:tcPr>
            <w:tcW w:w="2180" w:type="dxa"/>
            <w:tcBorders>
              <w:top w:val="nil"/>
              <w:left w:val="nil"/>
              <w:bottom w:val="single" w:sz="4" w:space="0" w:color="auto"/>
              <w:right w:val="single" w:sz="4" w:space="0" w:color="auto"/>
            </w:tcBorders>
            <w:shd w:val="clear" w:color="auto" w:fill="auto"/>
            <w:noWrap/>
            <w:vAlign w:val="bottom"/>
            <w:hideMark/>
          </w:tcPr>
          <w:p w14:paraId="6D1D608C" w14:textId="77777777" w:rsidR="007965E2" w:rsidRPr="00D177F9" w:rsidRDefault="007965E2" w:rsidP="002860D9">
            <w:pPr>
              <w:jc w:val="center"/>
              <w:rPr>
                <w:color w:val="002060"/>
                <w:sz w:val="20"/>
                <w:szCs w:val="20"/>
              </w:rPr>
            </w:pPr>
            <w:r w:rsidRPr="00D177F9">
              <w:rPr>
                <w:color w:val="002060"/>
                <w:sz w:val="20"/>
                <w:szCs w:val="20"/>
              </w:rPr>
              <w:t>$36,354,942</w:t>
            </w:r>
          </w:p>
        </w:tc>
      </w:tr>
      <w:tr w:rsidR="00D177F9" w:rsidRPr="00D177F9" w14:paraId="1E11209A" w14:textId="77777777" w:rsidTr="007965E2">
        <w:trPr>
          <w:trHeight w:val="30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7B2722C0" w14:textId="77777777" w:rsidR="007965E2" w:rsidRPr="00D177F9" w:rsidRDefault="007965E2" w:rsidP="002860D9">
            <w:pPr>
              <w:rPr>
                <w:color w:val="002060"/>
                <w:sz w:val="20"/>
                <w:szCs w:val="20"/>
              </w:rPr>
            </w:pPr>
            <w:r w:rsidRPr="00D177F9">
              <w:rPr>
                <w:color w:val="002060"/>
                <w:sz w:val="20"/>
                <w:szCs w:val="20"/>
              </w:rPr>
              <w:t xml:space="preserve">Bus attendant </w:t>
            </w:r>
          </w:p>
        </w:tc>
        <w:tc>
          <w:tcPr>
            <w:tcW w:w="2180" w:type="dxa"/>
            <w:tcBorders>
              <w:top w:val="nil"/>
              <w:left w:val="nil"/>
              <w:bottom w:val="single" w:sz="4" w:space="0" w:color="auto"/>
              <w:right w:val="single" w:sz="4" w:space="0" w:color="auto"/>
            </w:tcBorders>
            <w:shd w:val="clear" w:color="auto" w:fill="auto"/>
            <w:noWrap/>
            <w:vAlign w:val="bottom"/>
            <w:hideMark/>
          </w:tcPr>
          <w:p w14:paraId="276D1025" w14:textId="77777777" w:rsidR="007965E2" w:rsidRPr="00D177F9" w:rsidRDefault="007965E2" w:rsidP="002860D9">
            <w:pPr>
              <w:jc w:val="center"/>
              <w:rPr>
                <w:color w:val="002060"/>
                <w:sz w:val="20"/>
                <w:szCs w:val="20"/>
              </w:rPr>
            </w:pPr>
            <w:r w:rsidRPr="00D177F9">
              <w:rPr>
                <w:color w:val="002060"/>
                <w:sz w:val="20"/>
                <w:szCs w:val="20"/>
              </w:rPr>
              <w:t>$27,912,230</w:t>
            </w:r>
          </w:p>
        </w:tc>
      </w:tr>
      <w:tr w:rsidR="00D177F9" w:rsidRPr="00D177F9" w14:paraId="1A350E0C" w14:textId="77777777" w:rsidTr="007965E2">
        <w:trPr>
          <w:trHeight w:val="78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121C8086" w14:textId="77777777" w:rsidR="007965E2" w:rsidRPr="00D177F9" w:rsidRDefault="007965E2" w:rsidP="002860D9">
            <w:pPr>
              <w:rPr>
                <w:color w:val="002060"/>
                <w:sz w:val="20"/>
                <w:szCs w:val="20"/>
              </w:rPr>
            </w:pPr>
            <w:r w:rsidRPr="00D177F9">
              <w:rPr>
                <w:color w:val="002060"/>
                <w:sz w:val="20"/>
                <w:szCs w:val="20"/>
              </w:rPr>
              <w:t>Support staff (fleet management; terminal operations; customer service; finance; employee relations; risk management; procurement; routing; audit/compliance; fleet management; operations management)</w:t>
            </w:r>
          </w:p>
        </w:tc>
        <w:tc>
          <w:tcPr>
            <w:tcW w:w="2180" w:type="dxa"/>
            <w:tcBorders>
              <w:top w:val="nil"/>
              <w:left w:val="nil"/>
              <w:bottom w:val="single" w:sz="4" w:space="0" w:color="auto"/>
              <w:right w:val="single" w:sz="4" w:space="0" w:color="auto"/>
            </w:tcBorders>
            <w:shd w:val="clear" w:color="auto" w:fill="auto"/>
            <w:noWrap/>
            <w:vAlign w:val="bottom"/>
            <w:hideMark/>
          </w:tcPr>
          <w:p w14:paraId="6A7B6094" w14:textId="77777777" w:rsidR="007965E2" w:rsidRPr="00D177F9" w:rsidRDefault="007965E2" w:rsidP="002860D9">
            <w:pPr>
              <w:jc w:val="center"/>
              <w:rPr>
                <w:color w:val="002060"/>
                <w:sz w:val="20"/>
                <w:szCs w:val="20"/>
              </w:rPr>
            </w:pPr>
            <w:r w:rsidRPr="00D177F9">
              <w:rPr>
                <w:color w:val="002060"/>
                <w:sz w:val="20"/>
                <w:szCs w:val="20"/>
              </w:rPr>
              <w:t>$11,063,446</w:t>
            </w:r>
          </w:p>
        </w:tc>
      </w:tr>
      <w:tr w:rsidR="00D177F9" w:rsidRPr="00D177F9" w14:paraId="72D491A5" w14:textId="77777777" w:rsidTr="007965E2">
        <w:trPr>
          <w:trHeight w:val="300"/>
        </w:trPr>
        <w:tc>
          <w:tcPr>
            <w:tcW w:w="68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894A4" w14:textId="77777777" w:rsidR="007965E2" w:rsidRPr="00D177F9" w:rsidRDefault="007965E2" w:rsidP="002860D9">
            <w:pPr>
              <w:rPr>
                <w:color w:val="002060"/>
                <w:sz w:val="20"/>
                <w:szCs w:val="20"/>
              </w:rPr>
            </w:pPr>
            <w:r w:rsidRPr="00D177F9">
              <w:rPr>
                <w:color w:val="002060"/>
                <w:sz w:val="20"/>
                <w:szCs w:val="20"/>
              </w:rPr>
              <w:t>Intra-district fixed costs (i.e. electricity, telecomm, security, fuel, rent, water)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71B067C" w14:textId="77777777" w:rsidR="007965E2" w:rsidRPr="00D177F9" w:rsidRDefault="007965E2" w:rsidP="002860D9">
            <w:pPr>
              <w:jc w:val="center"/>
              <w:rPr>
                <w:color w:val="002060"/>
                <w:sz w:val="20"/>
                <w:szCs w:val="20"/>
              </w:rPr>
            </w:pPr>
            <w:r w:rsidRPr="00D177F9">
              <w:rPr>
                <w:color w:val="002060"/>
                <w:sz w:val="20"/>
                <w:szCs w:val="20"/>
              </w:rPr>
              <w:t>$9,273,868</w:t>
            </w:r>
          </w:p>
        </w:tc>
      </w:tr>
      <w:tr w:rsidR="00D177F9" w:rsidRPr="00D177F9" w14:paraId="681710A0" w14:textId="77777777" w:rsidTr="007965E2">
        <w:trPr>
          <w:trHeight w:val="525"/>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5FE463EC" w14:textId="77777777" w:rsidR="007965E2" w:rsidRPr="00D177F9" w:rsidRDefault="007965E2" w:rsidP="002860D9">
            <w:pPr>
              <w:rPr>
                <w:color w:val="002060"/>
                <w:sz w:val="20"/>
                <w:szCs w:val="20"/>
              </w:rPr>
            </w:pPr>
            <w:r w:rsidRPr="00D177F9">
              <w:rPr>
                <w:color w:val="002060"/>
                <w:sz w:val="20"/>
                <w:szCs w:val="20"/>
              </w:rPr>
              <w:t>Safe fleet (safety inspections; preventative maintenance; repairs) - FY14 included in CSG 40 &amp; 41</w:t>
            </w:r>
          </w:p>
        </w:tc>
        <w:tc>
          <w:tcPr>
            <w:tcW w:w="2180" w:type="dxa"/>
            <w:tcBorders>
              <w:top w:val="nil"/>
              <w:left w:val="nil"/>
              <w:bottom w:val="single" w:sz="4" w:space="0" w:color="auto"/>
              <w:right w:val="single" w:sz="4" w:space="0" w:color="auto"/>
            </w:tcBorders>
            <w:shd w:val="clear" w:color="auto" w:fill="auto"/>
            <w:noWrap/>
            <w:vAlign w:val="bottom"/>
            <w:hideMark/>
          </w:tcPr>
          <w:p w14:paraId="57DA2DAC" w14:textId="77777777" w:rsidR="007965E2" w:rsidRPr="00D177F9" w:rsidRDefault="007965E2" w:rsidP="002860D9">
            <w:pPr>
              <w:jc w:val="center"/>
              <w:rPr>
                <w:color w:val="002060"/>
                <w:sz w:val="20"/>
                <w:szCs w:val="20"/>
              </w:rPr>
            </w:pPr>
            <w:r w:rsidRPr="00D177F9">
              <w:rPr>
                <w:color w:val="002060"/>
                <w:sz w:val="20"/>
                <w:szCs w:val="20"/>
              </w:rPr>
              <w:t>$3,500,000</w:t>
            </w:r>
          </w:p>
        </w:tc>
      </w:tr>
      <w:tr w:rsidR="00D177F9" w:rsidRPr="00D177F9" w14:paraId="36876148" w14:textId="77777777" w:rsidTr="009627F0">
        <w:trPr>
          <w:trHeight w:val="30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57E5AE9A" w14:textId="77777777" w:rsidR="007965E2" w:rsidRPr="00D177F9" w:rsidRDefault="007965E2" w:rsidP="002860D9">
            <w:pPr>
              <w:rPr>
                <w:color w:val="002060"/>
                <w:sz w:val="20"/>
                <w:szCs w:val="20"/>
              </w:rPr>
            </w:pPr>
            <w:r w:rsidRPr="00D177F9">
              <w:rPr>
                <w:color w:val="002060"/>
                <w:sz w:val="20"/>
                <w:szCs w:val="20"/>
              </w:rPr>
              <w:t>Overtime</w:t>
            </w:r>
          </w:p>
        </w:tc>
        <w:tc>
          <w:tcPr>
            <w:tcW w:w="2180" w:type="dxa"/>
            <w:tcBorders>
              <w:top w:val="nil"/>
              <w:left w:val="nil"/>
              <w:bottom w:val="single" w:sz="4" w:space="0" w:color="auto"/>
              <w:right w:val="single" w:sz="4" w:space="0" w:color="auto"/>
            </w:tcBorders>
            <w:shd w:val="clear" w:color="auto" w:fill="auto"/>
            <w:noWrap/>
            <w:vAlign w:val="bottom"/>
            <w:hideMark/>
          </w:tcPr>
          <w:p w14:paraId="21683A0A" w14:textId="77777777" w:rsidR="007965E2" w:rsidRPr="00D177F9" w:rsidRDefault="007965E2" w:rsidP="002860D9">
            <w:pPr>
              <w:jc w:val="center"/>
              <w:rPr>
                <w:color w:val="002060"/>
                <w:sz w:val="20"/>
                <w:szCs w:val="20"/>
              </w:rPr>
            </w:pPr>
            <w:r w:rsidRPr="00D177F9">
              <w:rPr>
                <w:color w:val="002060"/>
                <w:sz w:val="20"/>
                <w:szCs w:val="20"/>
              </w:rPr>
              <w:t>$2,951,000</w:t>
            </w:r>
          </w:p>
        </w:tc>
      </w:tr>
      <w:tr w:rsidR="00D177F9" w:rsidRPr="00D177F9" w14:paraId="32F94164" w14:textId="77777777" w:rsidTr="009627F0">
        <w:trPr>
          <w:trHeight w:val="780"/>
        </w:trPr>
        <w:tc>
          <w:tcPr>
            <w:tcW w:w="68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BE439" w14:textId="77777777" w:rsidR="007965E2" w:rsidRPr="00D177F9" w:rsidRDefault="007965E2" w:rsidP="002860D9">
            <w:pPr>
              <w:rPr>
                <w:color w:val="002060"/>
                <w:sz w:val="20"/>
                <w:szCs w:val="20"/>
              </w:rPr>
            </w:pPr>
            <w:bookmarkStart w:id="1" w:name="_GoBack"/>
            <w:r w:rsidRPr="00D177F9">
              <w:rPr>
                <w:color w:val="002060"/>
                <w:sz w:val="20"/>
                <w:szCs w:val="20"/>
              </w:rPr>
              <w:lastRenderedPageBreak/>
              <w:t>Contractual services: Fleet maintenance; nursing; GPS technology; data conversion for Medicaid reimbursement; employee drug testing; audit and compliance activities; required training; judgments and indemnities (1,600 head count)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75F02C0" w14:textId="77777777" w:rsidR="007965E2" w:rsidRPr="00D177F9" w:rsidRDefault="007965E2" w:rsidP="002860D9">
            <w:pPr>
              <w:jc w:val="center"/>
              <w:rPr>
                <w:color w:val="002060"/>
                <w:sz w:val="20"/>
                <w:szCs w:val="20"/>
              </w:rPr>
            </w:pPr>
            <w:r w:rsidRPr="00D177F9">
              <w:rPr>
                <w:color w:val="002060"/>
                <w:sz w:val="20"/>
                <w:szCs w:val="20"/>
              </w:rPr>
              <w:t>$4,366,342</w:t>
            </w:r>
          </w:p>
        </w:tc>
      </w:tr>
      <w:bookmarkEnd w:id="1"/>
      <w:tr w:rsidR="00D177F9" w:rsidRPr="00D177F9" w14:paraId="23A6BE7E" w14:textId="77777777" w:rsidTr="006C3E79">
        <w:trPr>
          <w:trHeight w:val="300"/>
        </w:trPr>
        <w:tc>
          <w:tcPr>
            <w:tcW w:w="68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E684E" w14:textId="77777777" w:rsidR="007965E2" w:rsidRPr="00D177F9" w:rsidRDefault="007965E2" w:rsidP="002860D9">
            <w:pPr>
              <w:rPr>
                <w:color w:val="002060"/>
                <w:sz w:val="20"/>
                <w:szCs w:val="20"/>
              </w:rPr>
            </w:pPr>
            <w:r w:rsidRPr="00D177F9">
              <w:rPr>
                <w:color w:val="002060"/>
                <w:sz w:val="20"/>
                <w:szCs w:val="20"/>
              </w:rPr>
              <w:t>Nursing contract (FY14 included in CSG 40 &amp; 41)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E043D0C" w14:textId="77777777" w:rsidR="007965E2" w:rsidRPr="00D177F9" w:rsidRDefault="007965E2" w:rsidP="002860D9">
            <w:pPr>
              <w:jc w:val="center"/>
              <w:rPr>
                <w:color w:val="002060"/>
                <w:sz w:val="20"/>
                <w:szCs w:val="20"/>
              </w:rPr>
            </w:pPr>
            <w:r w:rsidRPr="00D177F9">
              <w:rPr>
                <w:color w:val="002060"/>
                <w:sz w:val="20"/>
                <w:szCs w:val="20"/>
              </w:rPr>
              <w:t>$1,500,000</w:t>
            </w:r>
          </w:p>
        </w:tc>
      </w:tr>
      <w:tr w:rsidR="00D177F9" w:rsidRPr="00D177F9" w14:paraId="25DE4262" w14:textId="77777777" w:rsidTr="007965E2">
        <w:trPr>
          <w:trHeight w:val="30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4EE6A60A" w14:textId="77777777" w:rsidR="007965E2" w:rsidRPr="00D177F9" w:rsidRDefault="007965E2" w:rsidP="002860D9">
            <w:pPr>
              <w:rPr>
                <w:color w:val="002060"/>
                <w:sz w:val="20"/>
                <w:szCs w:val="20"/>
              </w:rPr>
            </w:pPr>
            <w:r w:rsidRPr="00D177F9">
              <w:rPr>
                <w:color w:val="002060"/>
                <w:sz w:val="20"/>
                <w:szCs w:val="20"/>
              </w:rPr>
              <w:t>Employee uniforms</w:t>
            </w:r>
          </w:p>
        </w:tc>
        <w:tc>
          <w:tcPr>
            <w:tcW w:w="2180" w:type="dxa"/>
            <w:tcBorders>
              <w:top w:val="nil"/>
              <w:left w:val="nil"/>
              <w:bottom w:val="single" w:sz="4" w:space="0" w:color="auto"/>
              <w:right w:val="single" w:sz="4" w:space="0" w:color="auto"/>
            </w:tcBorders>
            <w:shd w:val="clear" w:color="auto" w:fill="auto"/>
            <w:noWrap/>
            <w:vAlign w:val="bottom"/>
            <w:hideMark/>
          </w:tcPr>
          <w:p w14:paraId="017CA54E" w14:textId="77777777" w:rsidR="007965E2" w:rsidRPr="00D177F9" w:rsidRDefault="007965E2" w:rsidP="002860D9">
            <w:pPr>
              <w:jc w:val="center"/>
              <w:rPr>
                <w:color w:val="002060"/>
                <w:sz w:val="20"/>
                <w:szCs w:val="20"/>
              </w:rPr>
            </w:pPr>
            <w:r w:rsidRPr="00D177F9">
              <w:rPr>
                <w:color w:val="002060"/>
                <w:sz w:val="20"/>
                <w:szCs w:val="20"/>
              </w:rPr>
              <w:t>$660,000</w:t>
            </w:r>
          </w:p>
        </w:tc>
      </w:tr>
      <w:tr w:rsidR="00D177F9" w:rsidRPr="00D177F9" w14:paraId="439B8DF8" w14:textId="77777777" w:rsidTr="007965E2">
        <w:trPr>
          <w:trHeight w:val="30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5AA5610C" w14:textId="77777777" w:rsidR="007965E2" w:rsidRPr="00D177F9" w:rsidRDefault="007965E2" w:rsidP="002860D9">
            <w:pPr>
              <w:rPr>
                <w:color w:val="002060"/>
                <w:sz w:val="20"/>
                <w:szCs w:val="20"/>
              </w:rPr>
            </w:pPr>
            <w:r w:rsidRPr="00D177F9">
              <w:rPr>
                <w:color w:val="002060"/>
                <w:sz w:val="20"/>
                <w:szCs w:val="20"/>
              </w:rPr>
              <w:t>Technology and equipment rental (Fleet management software; routing software)</w:t>
            </w:r>
          </w:p>
        </w:tc>
        <w:tc>
          <w:tcPr>
            <w:tcW w:w="2180" w:type="dxa"/>
            <w:tcBorders>
              <w:top w:val="nil"/>
              <w:left w:val="nil"/>
              <w:bottom w:val="single" w:sz="4" w:space="0" w:color="auto"/>
              <w:right w:val="single" w:sz="4" w:space="0" w:color="auto"/>
            </w:tcBorders>
            <w:shd w:val="clear" w:color="auto" w:fill="auto"/>
            <w:noWrap/>
            <w:vAlign w:val="bottom"/>
            <w:hideMark/>
          </w:tcPr>
          <w:p w14:paraId="1588FE96" w14:textId="77777777" w:rsidR="007965E2" w:rsidRPr="00D177F9" w:rsidRDefault="007965E2" w:rsidP="002860D9">
            <w:pPr>
              <w:jc w:val="center"/>
              <w:rPr>
                <w:color w:val="002060"/>
                <w:sz w:val="20"/>
                <w:szCs w:val="20"/>
              </w:rPr>
            </w:pPr>
            <w:r w:rsidRPr="00D177F9">
              <w:rPr>
                <w:color w:val="002060"/>
                <w:sz w:val="20"/>
                <w:szCs w:val="20"/>
              </w:rPr>
              <w:t>$350,000</w:t>
            </w:r>
          </w:p>
        </w:tc>
      </w:tr>
      <w:tr w:rsidR="00D177F9" w:rsidRPr="00D177F9" w14:paraId="48A8F5CE" w14:textId="77777777" w:rsidTr="007965E2">
        <w:trPr>
          <w:trHeight w:val="30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41A235E4" w14:textId="77777777" w:rsidR="007965E2" w:rsidRPr="00D177F9" w:rsidRDefault="007965E2" w:rsidP="002860D9">
            <w:pPr>
              <w:rPr>
                <w:color w:val="002060"/>
                <w:sz w:val="20"/>
                <w:szCs w:val="20"/>
              </w:rPr>
            </w:pPr>
            <w:r w:rsidRPr="00D177F9">
              <w:rPr>
                <w:color w:val="002060"/>
                <w:sz w:val="20"/>
                <w:szCs w:val="20"/>
              </w:rPr>
              <w:t>Equipment and supplies (safety; paper; toner) (CSG 20 minus uniforms)</w:t>
            </w:r>
          </w:p>
        </w:tc>
        <w:tc>
          <w:tcPr>
            <w:tcW w:w="2180" w:type="dxa"/>
            <w:tcBorders>
              <w:top w:val="nil"/>
              <w:left w:val="nil"/>
              <w:bottom w:val="single" w:sz="4" w:space="0" w:color="auto"/>
              <w:right w:val="single" w:sz="4" w:space="0" w:color="auto"/>
            </w:tcBorders>
            <w:shd w:val="clear" w:color="auto" w:fill="auto"/>
            <w:noWrap/>
            <w:vAlign w:val="bottom"/>
            <w:hideMark/>
          </w:tcPr>
          <w:p w14:paraId="06FA3AA8" w14:textId="77777777" w:rsidR="007965E2" w:rsidRPr="00D177F9" w:rsidRDefault="007965E2" w:rsidP="002860D9">
            <w:pPr>
              <w:jc w:val="center"/>
              <w:rPr>
                <w:color w:val="002060"/>
                <w:sz w:val="20"/>
                <w:szCs w:val="20"/>
              </w:rPr>
            </w:pPr>
            <w:r w:rsidRPr="00D177F9">
              <w:rPr>
                <w:color w:val="002060"/>
                <w:sz w:val="20"/>
                <w:szCs w:val="20"/>
              </w:rPr>
              <w:t>$220,000</w:t>
            </w:r>
          </w:p>
        </w:tc>
      </w:tr>
      <w:tr w:rsidR="00D177F9" w:rsidRPr="00D177F9" w14:paraId="49335110" w14:textId="77777777" w:rsidTr="007965E2">
        <w:trPr>
          <w:trHeight w:val="300"/>
        </w:trPr>
        <w:tc>
          <w:tcPr>
            <w:tcW w:w="6845" w:type="dxa"/>
            <w:tcBorders>
              <w:top w:val="nil"/>
              <w:left w:val="single" w:sz="4" w:space="0" w:color="auto"/>
              <w:bottom w:val="single" w:sz="4" w:space="0" w:color="auto"/>
              <w:right w:val="single" w:sz="4" w:space="0" w:color="auto"/>
            </w:tcBorders>
            <w:shd w:val="clear" w:color="auto" w:fill="auto"/>
            <w:vAlign w:val="bottom"/>
            <w:hideMark/>
          </w:tcPr>
          <w:p w14:paraId="14EAB136" w14:textId="77777777" w:rsidR="007965E2" w:rsidRPr="00D177F9" w:rsidRDefault="007965E2" w:rsidP="002860D9">
            <w:pPr>
              <w:rPr>
                <w:color w:val="002060"/>
                <w:sz w:val="20"/>
                <w:szCs w:val="20"/>
              </w:rPr>
            </w:pPr>
            <w:r w:rsidRPr="00D177F9">
              <w:rPr>
                <w:color w:val="002060"/>
                <w:sz w:val="20"/>
                <w:szCs w:val="20"/>
              </w:rPr>
              <w:t xml:space="preserve">Subsidies - Tokens and </w:t>
            </w:r>
            <w:proofErr w:type="spellStart"/>
            <w:r w:rsidRPr="00D177F9">
              <w:rPr>
                <w:color w:val="002060"/>
                <w:sz w:val="20"/>
                <w:szCs w:val="20"/>
              </w:rPr>
              <w:t>Farecards</w:t>
            </w:r>
            <w:proofErr w:type="spellEnd"/>
            <w:r w:rsidRPr="00D177F9">
              <w:rPr>
                <w:color w:val="002060"/>
                <w:sz w:val="20"/>
                <w:szCs w:val="20"/>
              </w:rPr>
              <w:t>; parent reimbursement</w:t>
            </w:r>
          </w:p>
        </w:tc>
        <w:tc>
          <w:tcPr>
            <w:tcW w:w="2180" w:type="dxa"/>
            <w:tcBorders>
              <w:top w:val="nil"/>
              <w:left w:val="nil"/>
              <w:bottom w:val="single" w:sz="4" w:space="0" w:color="auto"/>
              <w:right w:val="single" w:sz="4" w:space="0" w:color="auto"/>
            </w:tcBorders>
            <w:shd w:val="clear" w:color="auto" w:fill="auto"/>
            <w:noWrap/>
            <w:vAlign w:val="bottom"/>
            <w:hideMark/>
          </w:tcPr>
          <w:p w14:paraId="0A9D2223" w14:textId="77777777" w:rsidR="007965E2" w:rsidRPr="00D177F9" w:rsidRDefault="007965E2" w:rsidP="002860D9">
            <w:pPr>
              <w:jc w:val="center"/>
              <w:rPr>
                <w:color w:val="002060"/>
                <w:sz w:val="20"/>
                <w:szCs w:val="20"/>
              </w:rPr>
            </w:pPr>
            <w:r w:rsidRPr="00D177F9">
              <w:rPr>
                <w:color w:val="002060"/>
                <w:sz w:val="20"/>
                <w:szCs w:val="20"/>
              </w:rPr>
              <w:t>$410,000</w:t>
            </w:r>
          </w:p>
        </w:tc>
      </w:tr>
      <w:tr w:rsidR="00D177F9" w:rsidRPr="00D177F9" w14:paraId="46775DBD" w14:textId="77777777" w:rsidTr="007965E2">
        <w:trPr>
          <w:trHeight w:val="300"/>
        </w:trPr>
        <w:tc>
          <w:tcPr>
            <w:tcW w:w="6845" w:type="dxa"/>
            <w:tcBorders>
              <w:top w:val="nil"/>
              <w:left w:val="single" w:sz="4" w:space="0" w:color="auto"/>
              <w:bottom w:val="single" w:sz="4" w:space="0" w:color="auto"/>
              <w:right w:val="single" w:sz="4" w:space="0" w:color="auto"/>
            </w:tcBorders>
            <w:shd w:val="clear" w:color="000000" w:fill="BFBFBF"/>
            <w:noWrap/>
            <w:vAlign w:val="bottom"/>
            <w:hideMark/>
          </w:tcPr>
          <w:p w14:paraId="50B99D11" w14:textId="77777777" w:rsidR="007965E2" w:rsidRPr="00D177F9" w:rsidRDefault="007965E2" w:rsidP="002860D9">
            <w:pPr>
              <w:jc w:val="right"/>
              <w:rPr>
                <w:b/>
                <w:bCs/>
                <w:color w:val="002060"/>
                <w:sz w:val="20"/>
                <w:szCs w:val="20"/>
              </w:rPr>
            </w:pPr>
            <w:r w:rsidRPr="00D177F9">
              <w:rPr>
                <w:b/>
                <w:bCs/>
                <w:color w:val="002060"/>
                <w:sz w:val="20"/>
                <w:szCs w:val="20"/>
              </w:rPr>
              <w:t>Total Projected FY15 Budget</w:t>
            </w:r>
          </w:p>
        </w:tc>
        <w:tc>
          <w:tcPr>
            <w:tcW w:w="2180" w:type="dxa"/>
            <w:tcBorders>
              <w:top w:val="nil"/>
              <w:left w:val="nil"/>
              <w:bottom w:val="single" w:sz="4" w:space="0" w:color="auto"/>
              <w:right w:val="single" w:sz="4" w:space="0" w:color="auto"/>
            </w:tcBorders>
            <w:shd w:val="clear" w:color="000000" w:fill="BFBFBF"/>
            <w:noWrap/>
            <w:vAlign w:val="bottom"/>
            <w:hideMark/>
          </w:tcPr>
          <w:p w14:paraId="7BCB6F3C" w14:textId="77777777" w:rsidR="007965E2" w:rsidRPr="00D177F9" w:rsidRDefault="007965E2" w:rsidP="002860D9">
            <w:pPr>
              <w:jc w:val="center"/>
              <w:rPr>
                <w:b/>
                <w:bCs/>
                <w:color w:val="002060"/>
                <w:sz w:val="20"/>
                <w:szCs w:val="20"/>
              </w:rPr>
            </w:pPr>
            <w:r w:rsidRPr="00D177F9">
              <w:rPr>
                <w:b/>
                <w:bCs/>
                <w:color w:val="002060"/>
                <w:sz w:val="20"/>
                <w:szCs w:val="20"/>
              </w:rPr>
              <w:t>$98,561,828</w:t>
            </w:r>
          </w:p>
        </w:tc>
      </w:tr>
    </w:tbl>
    <w:p w14:paraId="0684D438" w14:textId="77777777" w:rsidR="002832B6" w:rsidRPr="006C3E79" w:rsidRDefault="002832B6" w:rsidP="006C3E79">
      <w:pPr>
        <w:rPr>
          <w:rFonts w:asciiTheme="minorHAnsi" w:hAnsiTheme="minorHAnsi"/>
        </w:rPr>
      </w:pPr>
    </w:p>
    <w:p w14:paraId="45C0B772" w14:textId="0FBE1B7C" w:rsidR="000B34F8" w:rsidRDefault="00150DD7" w:rsidP="000B34F8">
      <w:pPr>
        <w:pStyle w:val="ListParagraph"/>
        <w:ind w:left="360"/>
        <w:jc w:val="both"/>
        <w:rPr>
          <w:rFonts w:asciiTheme="minorHAnsi" w:hAnsiTheme="minorHAnsi"/>
          <w:color w:val="002060"/>
        </w:rPr>
      </w:pPr>
      <w:r w:rsidRPr="00EB472E">
        <w:rPr>
          <w:rFonts w:asciiTheme="minorHAnsi" w:hAnsiTheme="minorHAnsi"/>
          <w:color w:val="002060"/>
        </w:rPr>
        <w:t>For th</w:t>
      </w:r>
      <w:r w:rsidR="006C3E79" w:rsidRPr="00EB472E">
        <w:rPr>
          <w:rFonts w:asciiTheme="minorHAnsi" w:hAnsiTheme="minorHAnsi"/>
          <w:color w:val="002060"/>
        </w:rPr>
        <w:t>e FY13 and FY14</w:t>
      </w:r>
      <w:r w:rsidRPr="00EB472E">
        <w:rPr>
          <w:rFonts w:asciiTheme="minorHAnsi" w:hAnsiTheme="minorHAnsi"/>
          <w:color w:val="002060"/>
        </w:rPr>
        <w:t xml:space="preserve"> bus routes and associated information, see Attachment </w:t>
      </w:r>
      <w:r w:rsidR="00EB472E" w:rsidRPr="00EB472E">
        <w:rPr>
          <w:rFonts w:asciiTheme="minorHAnsi" w:hAnsiTheme="minorHAnsi"/>
          <w:color w:val="002060"/>
        </w:rPr>
        <w:t>3</w:t>
      </w:r>
      <w:r w:rsidRPr="00D177F9">
        <w:rPr>
          <w:rFonts w:asciiTheme="minorHAnsi" w:hAnsiTheme="minorHAnsi"/>
          <w:color w:val="002060"/>
        </w:rPr>
        <w:t>.</w:t>
      </w:r>
      <w:r w:rsidR="000B34F8">
        <w:rPr>
          <w:rFonts w:asciiTheme="minorHAnsi" w:hAnsiTheme="minorHAnsi"/>
          <w:color w:val="002060"/>
        </w:rPr>
        <w:t xml:space="preserve">  </w:t>
      </w:r>
      <w:r w:rsidR="000B34F8" w:rsidRPr="001E783F">
        <w:rPr>
          <w:rFonts w:asciiTheme="minorHAnsi" w:hAnsiTheme="minorHAnsi"/>
          <w:color w:val="002060"/>
        </w:rPr>
        <w:t>Note that while OSSE-DOT can project that it will need 590 routes for FY15</w:t>
      </w:r>
      <w:r w:rsidR="000B34F8">
        <w:rPr>
          <w:rFonts w:asciiTheme="minorHAnsi" w:hAnsiTheme="minorHAnsi"/>
          <w:color w:val="002060"/>
        </w:rPr>
        <w:t xml:space="preserve"> based on historical data (which we will provide to the Committee in the coming days)</w:t>
      </w:r>
      <w:proofErr w:type="gramStart"/>
      <w:r w:rsidR="000B34F8" w:rsidRPr="001E783F">
        <w:rPr>
          <w:rFonts w:asciiTheme="minorHAnsi" w:hAnsiTheme="minorHAnsi"/>
          <w:color w:val="002060"/>
        </w:rPr>
        <w:t>,</w:t>
      </w:r>
      <w:proofErr w:type="gramEnd"/>
      <w:r w:rsidR="000B34F8" w:rsidRPr="001E783F">
        <w:rPr>
          <w:rFonts w:asciiTheme="minorHAnsi" w:hAnsiTheme="minorHAnsi"/>
          <w:color w:val="002060"/>
        </w:rPr>
        <w:t xml:space="preserve"> it cannot provide a breakdown of those routes at this time.  In order to break down the routes, OSSE-DOT must know LEA certification data, which is information that each LEA provides in the transportation request that verifies the student is eligible for special education transportation.  These routes include where the student will attend scho</w:t>
      </w:r>
      <w:r w:rsidR="000B34F8">
        <w:rPr>
          <w:rFonts w:asciiTheme="minorHAnsi" w:hAnsiTheme="minorHAnsi"/>
          <w:color w:val="002060"/>
        </w:rPr>
        <w:t>ol, which in turn determines the</w:t>
      </w:r>
      <w:r w:rsidR="000B34F8" w:rsidRPr="001E783F">
        <w:rPr>
          <w:rFonts w:asciiTheme="minorHAnsi" w:hAnsiTheme="minorHAnsi"/>
          <w:color w:val="002060"/>
        </w:rPr>
        <w:t xml:space="preserve"> routes.  OSSE-DOT does not obtain this data from DCPS until July.  Thus, a breakdown of the routes cannot be completed until that point.</w:t>
      </w:r>
      <w:r w:rsidR="000B34F8">
        <w:rPr>
          <w:rFonts w:asciiTheme="minorHAnsi" w:hAnsiTheme="minorHAnsi"/>
          <w:color w:val="002060"/>
        </w:rPr>
        <w:t xml:space="preserve">   </w:t>
      </w:r>
    </w:p>
    <w:p w14:paraId="6C78CB32" w14:textId="77777777" w:rsidR="004464EE" w:rsidRDefault="004464EE" w:rsidP="000B34F8">
      <w:pPr>
        <w:jc w:val="both"/>
        <w:rPr>
          <w:rFonts w:ascii="Times New Roman" w:hAnsi="Times New Roman" w:cs="Times New Roman"/>
          <w:sz w:val="24"/>
          <w:szCs w:val="24"/>
        </w:rPr>
      </w:pPr>
    </w:p>
    <w:p w14:paraId="71181C2C" w14:textId="77777777" w:rsidR="004464EE" w:rsidRPr="00C84923" w:rsidRDefault="004464EE" w:rsidP="00C8492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Please provide a narrative explanation of how OSSE developed the enrollment projections used for purposes of FY15 budget development for DCPS and public charter schools including the methodology, supporting documentation/analysis, and any alternative enrollment totals as projected by the Public Charter School Board and/or DCPS.  Please provide a narrative explanation of how DCPS coordinated with OSSE, the PCSB and DME for purposes of developing and finalizing enrollment projections for the FY15 budget.  </w:t>
      </w:r>
    </w:p>
    <w:p w14:paraId="44FDAA1D" w14:textId="77777777" w:rsidR="00C84923" w:rsidRDefault="00C84923" w:rsidP="00C84923">
      <w:pPr>
        <w:ind w:left="360"/>
        <w:rPr>
          <w:rFonts w:ascii="Times New Roman" w:hAnsi="Times New Roman" w:cs="Times New Roman"/>
          <w:color w:val="FF0000"/>
          <w:sz w:val="24"/>
          <w:szCs w:val="24"/>
        </w:rPr>
      </w:pPr>
    </w:p>
    <w:p w14:paraId="5273E430" w14:textId="77777777" w:rsidR="00C84923" w:rsidRDefault="00C84923" w:rsidP="00DA3CB9">
      <w:pPr>
        <w:ind w:left="360"/>
        <w:jc w:val="both"/>
        <w:rPr>
          <w:rFonts w:asciiTheme="minorHAnsi" w:hAnsiTheme="minorHAnsi" w:cs="Times New Roman"/>
          <w:color w:val="002060"/>
        </w:rPr>
      </w:pPr>
      <w:r w:rsidRPr="00402133">
        <w:rPr>
          <w:rFonts w:asciiTheme="minorHAnsi" w:hAnsiTheme="minorHAnsi" w:cs="Times New Roman"/>
          <w:color w:val="002060"/>
        </w:rPr>
        <w:t>Below are the stages involved in developing enrollment projections:</w:t>
      </w:r>
    </w:p>
    <w:p w14:paraId="4305F47B" w14:textId="77777777" w:rsidR="00ED61E3" w:rsidRPr="00402133" w:rsidRDefault="00ED61E3" w:rsidP="00DA3CB9">
      <w:pPr>
        <w:ind w:left="360"/>
        <w:jc w:val="both"/>
        <w:rPr>
          <w:rFonts w:asciiTheme="minorHAnsi" w:hAnsiTheme="minorHAnsi" w:cs="Times New Roman"/>
          <w:color w:val="002060"/>
        </w:rPr>
      </w:pPr>
    </w:p>
    <w:p w14:paraId="5680F3DD" w14:textId="0E6718FE" w:rsidR="00374870" w:rsidRPr="00402133" w:rsidRDefault="00EC46C1" w:rsidP="00ED61E3">
      <w:pPr>
        <w:numPr>
          <w:ilvl w:val="0"/>
          <w:numId w:val="16"/>
        </w:numPr>
        <w:jc w:val="both"/>
        <w:rPr>
          <w:rFonts w:asciiTheme="minorHAnsi" w:eastAsia="Times New Roman" w:hAnsiTheme="minorHAnsi"/>
          <w:color w:val="002060"/>
        </w:rPr>
      </w:pPr>
      <w:r>
        <w:rPr>
          <w:rFonts w:asciiTheme="minorHAnsi" w:eastAsia="Times New Roman" w:hAnsiTheme="minorHAnsi"/>
          <w:color w:val="002060"/>
        </w:rPr>
        <w:t>OSSE c</w:t>
      </w:r>
      <w:r w:rsidR="00374870" w:rsidRPr="00402133">
        <w:rPr>
          <w:rFonts w:asciiTheme="minorHAnsi" w:eastAsia="Times New Roman" w:hAnsiTheme="minorHAnsi"/>
          <w:color w:val="002060"/>
        </w:rPr>
        <w:t>reate</w:t>
      </w:r>
      <w:r>
        <w:rPr>
          <w:rFonts w:asciiTheme="minorHAnsi" w:eastAsia="Times New Roman" w:hAnsiTheme="minorHAnsi"/>
          <w:color w:val="002060"/>
        </w:rPr>
        <w:t>d</w:t>
      </w:r>
      <w:r w:rsidR="00374870" w:rsidRPr="00402133">
        <w:rPr>
          <w:rFonts w:asciiTheme="minorHAnsi" w:eastAsia="Times New Roman" w:hAnsiTheme="minorHAnsi"/>
          <w:color w:val="002060"/>
        </w:rPr>
        <w:t xml:space="preserve"> an</w:t>
      </w:r>
      <w:r w:rsidR="00C20969" w:rsidRPr="00402133">
        <w:rPr>
          <w:rFonts w:asciiTheme="minorHAnsi" w:eastAsia="Times New Roman" w:hAnsiTheme="minorHAnsi"/>
          <w:color w:val="002060"/>
        </w:rPr>
        <w:t xml:space="preserve"> initial projection by LEA and s</w:t>
      </w:r>
      <w:r w:rsidR="00374870" w:rsidRPr="00402133">
        <w:rPr>
          <w:rFonts w:asciiTheme="minorHAnsi" w:eastAsia="Times New Roman" w:hAnsiTheme="minorHAnsi"/>
          <w:color w:val="002060"/>
        </w:rPr>
        <w:t>ector</w:t>
      </w:r>
      <w:r w:rsidR="00826C92" w:rsidRPr="00402133">
        <w:rPr>
          <w:rFonts w:asciiTheme="minorHAnsi" w:eastAsia="Times New Roman" w:hAnsiTheme="minorHAnsi"/>
          <w:color w:val="002060"/>
        </w:rPr>
        <w:t>.</w:t>
      </w:r>
    </w:p>
    <w:p w14:paraId="2C1855AE" w14:textId="0E89CB9B" w:rsidR="00374870" w:rsidRPr="00402133" w:rsidRDefault="00EC46C1" w:rsidP="00ED61E3">
      <w:pPr>
        <w:numPr>
          <w:ilvl w:val="1"/>
          <w:numId w:val="29"/>
        </w:numPr>
        <w:jc w:val="both"/>
        <w:rPr>
          <w:rFonts w:asciiTheme="minorHAnsi" w:eastAsia="Times New Roman" w:hAnsiTheme="minorHAnsi"/>
          <w:color w:val="002060"/>
        </w:rPr>
      </w:pPr>
      <w:r>
        <w:rPr>
          <w:rFonts w:asciiTheme="minorHAnsi" w:eastAsia="Times New Roman" w:hAnsiTheme="minorHAnsi"/>
          <w:color w:val="002060"/>
        </w:rPr>
        <w:t>Used</w:t>
      </w:r>
      <w:r w:rsidRPr="00402133">
        <w:rPr>
          <w:rFonts w:asciiTheme="minorHAnsi" w:eastAsia="Times New Roman" w:hAnsiTheme="minorHAnsi"/>
          <w:color w:val="002060"/>
        </w:rPr>
        <w:t xml:space="preserve"> </w:t>
      </w:r>
      <w:r w:rsidR="00374870" w:rsidRPr="00402133">
        <w:rPr>
          <w:rFonts w:asciiTheme="minorHAnsi" w:eastAsia="Times New Roman" w:hAnsiTheme="minorHAnsi"/>
          <w:color w:val="002060"/>
        </w:rPr>
        <w:t>FY14 audited enrollment</w:t>
      </w:r>
      <w:r>
        <w:rPr>
          <w:rFonts w:asciiTheme="minorHAnsi" w:eastAsia="Times New Roman" w:hAnsiTheme="minorHAnsi"/>
          <w:color w:val="002060"/>
        </w:rPr>
        <w:t xml:space="preserve"> as the baseline.</w:t>
      </w:r>
    </w:p>
    <w:p w14:paraId="3C9BB95F" w14:textId="77777777" w:rsidR="00374870" w:rsidRPr="00402133" w:rsidRDefault="00374870" w:rsidP="00ED61E3">
      <w:pPr>
        <w:numPr>
          <w:ilvl w:val="1"/>
          <w:numId w:val="29"/>
        </w:numPr>
        <w:jc w:val="both"/>
        <w:rPr>
          <w:rFonts w:asciiTheme="minorHAnsi" w:eastAsia="Times New Roman" w:hAnsiTheme="minorHAnsi"/>
          <w:color w:val="002060"/>
        </w:rPr>
      </w:pPr>
      <w:r w:rsidRPr="00402133">
        <w:rPr>
          <w:rFonts w:asciiTheme="minorHAnsi" w:eastAsia="Times New Roman" w:hAnsiTheme="minorHAnsi"/>
          <w:color w:val="002060"/>
        </w:rPr>
        <w:t>Reviewed historical student movement patterns between schools and grades and projected those forward at an individual school/grade level</w:t>
      </w:r>
      <w:r w:rsidR="00826C92" w:rsidRPr="00402133">
        <w:rPr>
          <w:rFonts w:asciiTheme="minorHAnsi" w:eastAsia="Times New Roman" w:hAnsiTheme="minorHAnsi"/>
          <w:color w:val="002060"/>
        </w:rPr>
        <w:t>.</w:t>
      </w:r>
    </w:p>
    <w:p w14:paraId="3D233E17" w14:textId="77777777" w:rsidR="00374870" w:rsidRPr="00402133" w:rsidRDefault="00374870" w:rsidP="00ED61E3">
      <w:pPr>
        <w:numPr>
          <w:ilvl w:val="1"/>
          <w:numId w:val="29"/>
        </w:numPr>
        <w:jc w:val="both"/>
        <w:rPr>
          <w:rFonts w:asciiTheme="minorHAnsi" w:eastAsia="Times New Roman" w:hAnsiTheme="minorHAnsi"/>
          <w:color w:val="002060"/>
        </w:rPr>
      </w:pPr>
      <w:r w:rsidRPr="00402133">
        <w:rPr>
          <w:rFonts w:asciiTheme="minorHAnsi" w:eastAsia="Times New Roman" w:hAnsiTheme="minorHAnsi"/>
          <w:color w:val="002060"/>
        </w:rPr>
        <w:t>For special education, child count was reviewed as a baseline, as was non-public return, IDEA part B to part C transition, and other student sources</w:t>
      </w:r>
      <w:r w:rsidR="00826C92" w:rsidRPr="00402133">
        <w:rPr>
          <w:rFonts w:asciiTheme="minorHAnsi" w:eastAsia="Times New Roman" w:hAnsiTheme="minorHAnsi"/>
          <w:color w:val="002060"/>
        </w:rPr>
        <w:t>.</w:t>
      </w:r>
    </w:p>
    <w:p w14:paraId="0C11C443" w14:textId="236C024C" w:rsidR="00374870" w:rsidRPr="00402133" w:rsidRDefault="00EC46C1" w:rsidP="00D8633D">
      <w:pPr>
        <w:pStyle w:val="ListParagraph"/>
        <w:numPr>
          <w:ilvl w:val="0"/>
          <w:numId w:val="29"/>
        </w:numPr>
        <w:spacing w:before="100" w:beforeAutospacing="1" w:after="100" w:afterAutospacing="1"/>
        <w:contextualSpacing w:val="0"/>
        <w:jc w:val="both"/>
        <w:rPr>
          <w:rFonts w:asciiTheme="minorHAnsi" w:hAnsiTheme="minorHAnsi"/>
          <w:color w:val="002060"/>
        </w:rPr>
      </w:pPr>
      <w:r>
        <w:rPr>
          <w:rFonts w:asciiTheme="minorHAnsi" w:hAnsiTheme="minorHAnsi"/>
          <w:color w:val="002060"/>
        </w:rPr>
        <w:t>Initial projections were</w:t>
      </w:r>
      <w:r w:rsidRPr="00402133">
        <w:rPr>
          <w:rFonts w:asciiTheme="minorHAnsi" w:hAnsiTheme="minorHAnsi"/>
          <w:color w:val="002060"/>
        </w:rPr>
        <w:t xml:space="preserve"> </w:t>
      </w:r>
      <w:r w:rsidR="00374870" w:rsidRPr="00402133">
        <w:rPr>
          <w:rFonts w:asciiTheme="minorHAnsi" w:hAnsiTheme="minorHAnsi"/>
          <w:color w:val="002060"/>
        </w:rPr>
        <w:t>reviewed in detail by both sectors</w:t>
      </w:r>
      <w:r>
        <w:rPr>
          <w:rFonts w:asciiTheme="minorHAnsi" w:hAnsiTheme="minorHAnsi"/>
          <w:color w:val="002060"/>
        </w:rPr>
        <w:t xml:space="preserve">; </w:t>
      </w:r>
      <w:r w:rsidR="00374870" w:rsidRPr="00402133">
        <w:rPr>
          <w:rFonts w:asciiTheme="minorHAnsi" w:hAnsiTheme="minorHAnsi"/>
          <w:color w:val="002060"/>
        </w:rPr>
        <w:t>individual ev</w:t>
      </w:r>
      <w:r w:rsidR="002C61FE">
        <w:rPr>
          <w:rFonts w:asciiTheme="minorHAnsi" w:hAnsiTheme="minorHAnsi"/>
          <w:color w:val="002060"/>
        </w:rPr>
        <w:t xml:space="preserve">idence relevant to a particular </w:t>
      </w:r>
      <w:r w:rsidR="00374870" w:rsidRPr="00402133">
        <w:rPr>
          <w:rFonts w:asciiTheme="minorHAnsi" w:hAnsiTheme="minorHAnsi"/>
          <w:color w:val="002060"/>
        </w:rPr>
        <w:t xml:space="preserve">projection </w:t>
      </w:r>
      <w:r>
        <w:rPr>
          <w:rFonts w:asciiTheme="minorHAnsi" w:hAnsiTheme="minorHAnsi"/>
          <w:color w:val="002060"/>
        </w:rPr>
        <w:t>was</w:t>
      </w:r>
      <w:r w:rsidRPr="00402133">
        <w:rPr>
          <w:rFonts w:asciiTheme="minorHAnsi" w:hAnsiTheme="minorHAnsi"/>
          <w:color w:val="002060"/>
        </w:rPr>
        <w:t xml:space="preserve"> </w:t>
      </w:r>
      <w:r w:rsidR="00374870" w:rsidRPr="00402133">
        <w:rPr>
          <w:rFonts w:asciiTheme="minorHAnsi" w:hAnsiTheme="minorHAnsi"/>
          <w:color w:val="002060"/>
        </w:rPr>
        <w:t>reviewed by all education sector parties</w:t>
      </w:r>
      <w:r>
        <w:rPr>
          <w:rFonts w:asciiTheme="minorHAnsi" w:hAnsiTheme="minorHAnsi"/>
          <w:color w:val="002060"/>
        </w:rPr>
        <w:t>, including OSSE and staff from the office of the Deputy Mayor for Education (DME)</w:t>
      </w:r>
      <w:r w:rsidR="00374870" w:rsidRPr="00402133">
        <w:rPr>
          <w:rFonts w:asciiTheme="minorHAnsi" w:hAnsiTheme="minorHAnsi"/>
          <w:color w:val="002060"/>
        </w:rPr>
        <w:t xml:space="preserve">. </w:t>
      </w:r>
    </w:p>
    <w:p w14:paraId="20A2F1E5" w14:textId="68C19DDF" w:rsidR="00374870" w:rsidRPr="00402133" w:rsidRDefault="00EC46C1" w:rsidP="00D8633D">
      <w:pPr>
        <w:numPr>
          <w:ilvl w:val="0"/>
          <w:numId w:val="29"/>
        </w:numPr>
        <w:spacing w:before="100" w:beforeAutospacing="1" w:after="100" w:afterAutospacing="1"/>
        <w:jc w:val="both"/>
        <w:rPr>
          <w:rFonts w:asciiTheme="minorHAnsi" w:eastAsia="Times New Roman" w:hAnsiTheme="minorHAnsi"/>
          <w:color w:val="002060"/>
        </w:rPr>
      </w:pPr>
      <w:r>
        <w:rPr>
          <w:rFonts w:asciiTheme="minorHAnsi" w:eastAsia="Times New Roman" w:hAnsiTheme="minorHAnsi"/>
          <w:color w:val="002060"/>
        </w:rPr>
        <w:t>OSSE g</w:t>
      </w:r>
      <w:r w:rsidR="00374870" w:rsidRPr="00402133">
        <w:rPr>
          <w:rFonts w:asciiTheme="minorHAnsi" w:eastAsia="Times New Roman" w:hAnsiTheme="minorHAnsi"/>
          <w:color w:val="002060"/>
        </w:rPr>
        <w:t>ather</w:t>
      </w:r>
      <w:r>
        <w:rPr>
          <w:rFonts w:asciiTheme="minorHAnsi" w:eastAsia="Times New Roman" w:hAnsiTheme="minorHAnsi"/>
          <w:color w:val="002060"/>
        </w:rPr>
        <w:t>ed</w:t>
      </w:r>
      <w:r w:rsidR="00F92C16" w:rsidRPr="00402133">
        <w:rPr>
          <w:rFonts w:asciiTheme="minorHAnsi" w:eastAsia="Times New Roman" w:hAnsiTheme="minorHAnsi"/>
          <w:color w:val="002060"/>
        </w:rPr>
        <w:t xml:space="preserve"> programmatic information from s</w:t>
      </w:r>
      <w:r w:rsidR="00374870" w:rsidRPr="00402133">
        <w:rPr>
          <w:rFonts w:asciiTheme="minorHAnsi" w:eastAsia="Times New Roman" w:hAnsiTheme="minorHAnsi"/>
          <w:color w:val="002060"/>
        </w:rPr>
        <w:t>ectors</w:t>
      </w:r>
      <w:r w:rsidR="0060741B">
        <w:rPr>
          <w:rFonts w:asciiTheme="minorHAnsi" w:eastAsia="Times New Roman" w:hAnsiTheme="minorHAnsi"/>
          <w:color w:val="002060"/>
        </w:rPr>
        <w:t>,</w:t>
      </w:r>
      <w:r w:rsidR="00374870" w:rsidRPr="00402133">
        <w:rPr>
          <w:rFonts w:asciiTheme="minorHAnsi" w:eastAsia="Times New Roman" w:hAnsiTheme="minorHAnsi"/>
          <w:color w:val="002060"/>
        </w:rPr>
        <w:t xml:space="preserve"> including new programs and closures of existing schools and programs</w:t>
      </w:r>
      <w:r>
        <w:rPr>
          <w:rFonts w:asciiTheme="minorHAnsi" w:eastAsia="Times New Roman" w:hAnsiTheme="minorHAnsi"/>
          <w:color w:val="002060"/>
        </w:rPr>
        <w:t>, to inform any adjustments to the projections.</w:t>
      </w:r>
    </w:p>
    <w:p w14:paraId="26269078" w14:textId="433989CA" w:rsidR="00374870" w:rsidRPr="00402133" w:rsidRDefault="00EC46C1" w:rsidP="00D8633D">
      <w:pPr>
        <w:numPr>
          <w:ilvl w:val="0"/>
          <w:numId w:val="29"/>
        </w:numPr>
        <w:spacing w:before="100" w:beforeAutospacing="1" w:after="100" w:afterAutospacing="1"/>
        <w:jc w:val="both"/>
        <w:rPr>
          <w:rFonts w:asciiTheme="minorHAnsi" w:eastAsia="Times New Roman" w:hAnsiTheme="minorHAnsi"/>
          <w:color w:val="002060"/>
        </w:rPr>
      </w:pPr>
      <w:r>
        <w:rPr>
          <w:rFonts w:asciiTheme="minorHAnsi" w:eastAsia="Times New Roman" w:hAnsiTheme="minorHAnsi"/>
          <w:color w:val="002060"/>
        </w:rPr>
        <w:t>OSSE p</w:t>
      </w:r>
      <w:r w:rsidR="00374870" w:rsidRPr="00402133">
        <w:rPr>
          <w:rFonts w:asciiTheme="minorHAnsi" w:eastAsia="Times New Roman" w:hAnsiTheme="minorHAnsi"/>
          <w:color w:val="002060"/>
        </w:rPr>
        <w:t>erform</w:t>
      </w:r>
      <w:r>
        <w:rPr>
          <w:rFonts w:asciiTheme="minorHAnsi" w:eastAsia="Times New Roman" w:hAnsiTheme="minorHAnsi"/>
          <w:color w:val="002060"/>
        </w:rPr>
        <w:t>ed</w:t>
      </w:r>
      <w:r w:rsidR="00374870" w:rsidRPr="00402133">
        <w:rPr>
          <w:rFonts w:asciiTheme="minorHAnsi" w:eastAsia="Times New Roman" w:hAnsiTheme="minorHAnsi"/>
          <w:color w:val="002060"/>
        </w:rPr>
        <w:t xml:space="preserve"> a more detailed analysis of special education and limited English proficiency numbers by analyzing the proportionality of students in those categories</w:t>
      </w:r>
      <w:r w:rsidR="00106840" w:rsidRPr="00402133">
        <w:rPr>
          <w:rFonts w:asciiTheme="minorHAnsi" w:eastAsia="Times New Roman" w:hAnsiTheme="minorHAnsi"/>
          <w:color w:val="002060"/>
        </w:rPr>
        <w:t>.</w:t>
      </w:r>
    </w:p>
    <w:p w14:paraId="7C1E1ED5" w14:textId="77777777" w:rsidR="00EC46C1" w:rsidRDefault="00EC46C1" w:rsidP="00D8633D">
      <w:pPr>
        <w:numPr>
          <w:ilvl w:val="0"/>
          <w:numId w:val="29"/>
        </w:numPr>
        <w:spacing w:before="100" w:beforeAutospacing="1" w:after="100" w:afterAutospacing="1"/>
        <w:jc w:val="both"/>
        <w:rPr>
          <w:rFonts w:asciiTheme="minorHAnsi" w:eastAsia="Times New Roman" w:hAnsiTheme="minorHAnsi"/>
          <w:color w:val="002060"/>
        </w:rPr>
      </w:pPr>
      <w:r>
        <w:rPr>
          <w:rFonts w:asciiTheme="minorHAnsi" w:eastAsia="Times New Roman" w:hAnsiTheme="minorHAnsi"/>
          <w:color w:val="002060"/>
        </w:rPr>
        <w:t>OSSE and DME also reviewed the at-risk projections for each sector, which was a new projection for this school year.</w:t>
      </w:r>
    </w:p>
    <w:p w14:paraId="308120DD" w14:textId="71F2A53C" w:rsidR="00C84923" w:rsidRPr="00402133" w:rsidRDefault="00EC46C1" w:rsidP="00D8633D">
      <w:pPr>
        <w:numPr>
          <w:ilvl w:val="0"/>
          <w:numId w:val="29"/>
        </w:numPr>
        <w:spacing w:before="100" w:beforeAutospacing="1" w:after="100" w:afterAutospacing="1"/>
        <w:jc w:val="both"/>
        <w:rPr>
          <w:rFonts w:asciiTheme="minorHAnsi" w:eastAsia="Times New Roman" w:hAnsiTheme="minorHAnsi"/>
          <w:color w:val="002060"/>
        </w:rPr>
      </w:pPr>
      <w:r>
        <w:rPr>
          <w:rFonts w:asciiTheme="minorHAnsi" w:eastAsia="Times New Roman" w:hAnsiTheme="minorHAnsi"/>
          <w:color w:val="002060"/>
        </w:rPr>
        <w:t>OSEE r</w:t>
      </w:r>
      <w:r w:rsidR="00374870" w:rsidRPr="00402133">
        <w:rPr>
          <w:rFonts w:asciiTheme="minorHAnsi" w:eastAsia="Times New Roman" w:hAnsiTheme="minorHAnsi"/>
          <w:color w:val="002060"/>
        </w:rPr>
        <w:t>eview</w:t>
      </w:r>
      <w:r>
        <w:rPr>
          <w:rFonts w:asciiTheme="minorHAnsi" w:eastAsia="Times New Roman" w:hAnsiTheme="minorHAnsi"/>
          <w:color w:val="002060"/>
        </w:rPr>
        <w:t>ed</w:t>
      </w:r>
      <w:r w:rsidR="00374870" w:rsidRPr="00402133">
        <w:rPr>
          <w:rFonts w:asciiTheme="minorHAnsi" w:eastAsia="Times New Roman" w:hAnsiTheme="minorHAnsi"/>
          <w:color w:val="002060"/>
        </w:rPr>
        <w:t xml:space="preserve"> and finalize</w:t>
      </w:r>
      <w:r>
        <w:rPr>
          <w:rFonts w:asciiTheme="minorHAnsi" w:eastAsia="Times New Roman" w:hAnsiTheme="minorHAnsi"/>
          <w:color w:val="002060"/>
        </w:rPr>
        <w:t>d</w:t>
      </w:r>
      <w:r w:rsidR="00374870" w:rsidRPr="00402133">
        <w:rPr>
          <w:rFonts w:asciiTheme="minorHAnsi" w:eastAsia="Times New Roman" w:hAnsiTheme="minorHAnsi"/>
          <w:color w:val="002060"/>
        </w:rPr>
        <w:t xml:space="preserve"> </w:t>
      </w:r>
      <w:r>
        <w:rPr>
          <w:rFonts w:asciiTheme="minorHAnsi" w:eastAsia="Times New Roman" w:hAnsiTheme="minorHAnsi"/>
          <w:color w:val="002060"/>
        </w:rPr>
        <w:t xml:space="preserve">projections </w:t>
      </w:r>
      <w:r w:rsidR="00374870" w:rsidRPr="00402133">
        <w:rPr>
          <w:rFonts w:asciiTheme="minorHAnsi" w:eastAsia="Times New Roman" w:hAnsiTheme="minorHAnsi"/>
          <w:color w:val="002060"/>
        </w:rPr>
        <w:t>with all stakeholders</w:t>
      </w:r>
      <w:r w:rsidR="00106840" w:rsidRPr="00402133">
        <w:rPr>
          <w:rFonts w:asciiTheme="minorHAnsi" w:eastAsia="Times New Roman" w:hAnsiTheme="minorHAnsi"/>
          <w:color w:val="002060"/>
        </w:rPr>
        <w:t>.</w:t>
      </w:r>
    </w:p>
    <w:p w14:paraId="64D68CE2" w14:textId="3508BC68" w:rsidR="00C84923" w:rsidRPr="00402133" w:rsidRDefault="005D1CA0" w:rsidP="005D1CA0">
      <w:pPr>
        <w:ind w:left="360"/>
        <w:jc w:val="both"/>
        <w:rPr>
          <w:rFonts w:asciiTheme="minorHAnsi" w:hAnsiTheme="minorHAnsi" w:cs="Times New Roman"/>
          <w:color w:val="002060"/>
        </w:rPr>
      </w:pPr>
      <w:r w:rsidRPr="00402133">
        <w:rPr>
          <w:rFonts w:asciiTheme="minorHAnsi" w:hAnsiTheme="minorHAnsi" w:cs="Times New Roman"/>
          <w:color w:val="002060"/>
        </w:rPr>
        <w:lastRenderedPageBreak/>
        <w:t>W</w:t>
      </w:r>
      <w:r w:rsidR="00C0053B">
        <w:rPr>
          <w:rFonts w:asciiTheme="minorHAnsi" w:hAnsiTheme="minorHAnsi" w:cs="Times New Roman"/>
          <w:color w:val="002060"/>
        </w:rPr>
        <w:t xml:space="preserve">ith regard to </w:t>
      </w:r>
      <w:r w:rsidR="00C84923" w:rsidRPr="00402133">
        <w:rPr>
          <w:rFonts w:asciiTheme="minorHAnsi" w:hAnsiTheme="minorHAnsi" w:cs="Times New Roman"/>
          <w:color w:val="002060"/>
        </w:rPr>
        <w:t>DCPS</w:t>
      </w:r>
      <w:r w:rsidR="00205D96">
        <w:rPr>
          <w:rFonts w:asciiTheme="minorHAnsi" w:hAnsiTheme="minorHAnsi" w:cs="Times New Roman"/>
          <w:color w:val="002060"/>
        </w:rPr>
        <w:t>,</w:t>
      </w:r>
      <w:r w:rsidR="00C0053B">
        <w:rPr>
          <w:rFonts w:asciiTheme="minorHAnsi" w:hAnsiTheme="minorHAnsi" w:cs="Times New Roman"/>
          <w:color w:val="002060"/>
        </w:rPr>
        <w:t xml:space="preserve"> </w:t>
      </w:r>
      <w:r w:rsidR="00E7013D" w:rsidRPr="00402133">
        <w:rPr>
          <w:rFonts w:asciiTheme="minorHAnsi" w:hAnsiTheme="minorHAnsi" w:cs="Times New Roman"/>
          <w:color w:val="002060"/>
        </w:rPr>
        <w:t xml:space="preserve">projections </w:t>
      </w:r>
      <w:r w:rsidR="00C84923" w:rsidRPr="00402133">
        <w:rPr>
          <w:rFonts w:asciiTheme="minorHAnsi" w:hAnsiTheme="minorHAnsi" w:cs="Times New Roman"/>
          <w:color w:val="002060"/>
        </w:rPr>
        <w:t xml:space="preserve">include both full year students and pro-rated students based on </w:t>
      </w:r>
      <w:r w:rsidR="00E7013D">
        <w:rPr>
          <w:rFonts w:asciiTheme="minorHAnsi" w:hAnsiTheme="minorHAnsi" w:cs="Times New Roman"/>
          <w:color w:val="002060"/>
        </w:rPr>
        <w:t>the expectation that students continually enroll throughout the school year</w:t>
      </w:r>
      <w:r w:rsidR="00C84923" w:rsidRPr="00402133">
        <w:rPr>
          <w:rFonts w:asciiTheme="minorHAnsi" w:hAnsiTheme="minorHAnsi" w:cs="Times New Roman"/>
          <w:color w:val="002060"/>
        </w:rPr>
        <w:t>.  </w:t>
      </w:r>
      <w:r w:rsidR="002B671C">
        <w:rPr>
          <w:rFonts w:asciiTheme="minorHAnsi" w:hAnsiTheme="minorHAnsi" w:cs="Times New Roman"/>
          <w:color w:val="002060"/>
        </w:rPr>
        <w:t xml:space="preserve"> </w:t>
      </w:r>
      <w:r w:rsidR="00C84923" w:rsidRPr="00402133">
        <w:rPr>
          <w:rFonts w:asciiTheme="minorHAnsi" w:hAnsiTheme="minorHAnsi" w:cs="Times New Roman"/>
          <w:color w:val="002060"/>
        </w:rPr>
        <w:t>As a result</w:t>
      </w:r>
      <w:r w:rsidRPr="00402133">
        <w:rPr>
          <w:rFonts w:asciiTheme="minorHAnsi" w:hAnsiTheme="minorHAnsi" w:cs="Times New Roman"/>
          <w:color w:val="002060"/>
        </w:rPr>
        <w:t>,</w:t>
      </w:r>
      <w:r w:rsidR="00C84923" w:rsidRPr="00402133">
        <w:rPr>
          <w:rFonts w:asciiTheme="minorHAnsi" w:hAnsiTheme="minorHAnsi" w:cs="Times New Roman"/>
          <w:color w:val="002060"/>
        </w:rPr>
        <w:t xml:space="preserve"> it is anticipated that </w:t>
      </w:r>
      <w:r w:rsidR="00E7013D">
        <w:rPr>
          <w:rFonts w:asciiTheme="minorHAnsi" w:hAnsiTheme="minorHAnsi" w:cs="Times New Roman"/>
          <w:color w:val="002060"/>
        </w:rPr>
        <w:t>DCPS projections</w:t>
      </w:r>
      <w:r w:rsidR="00E7013D" w:rsidRPr="00402133">
        <w:rPr>
          <w:rFonts w:asciiTheme="minorHAnsi" w:hAnsiTheme="minorHAnsi" w:cs="Times New Roman"/>
          <w:color w:val="002060"/>
        </w:rPr>
        <w:t xml:space="preserve"> </w:t>
      </w:r>
      <w:r w:rsidR="00C84923" w:rsidRPr="00402133">
        <w:rPr>
          <w:rFonts w:asciiTheme="minorHAnsi" w:hAnsiTheme="minorHAnsi" w:cs="Times New Roman"/>
          <w:color w:val="002060"/>
        </w:rPr>
        <w:t>will be higher than the October enrollment audit numbers for FY15</w:t>
      </w:r>
      <w:r w:rsidR="002B671C">
        <w:rPr>
          <w:rFonts w:asciiTheme="minorHAnsi" w:hAnsiTheme="minorHAnsi" w:cs="Times New Roman"/>
          <w:color w:val="002060"/>
        </w:rPr>
        <w:t>,</w:t>
      </w:r>
      <w:r w:rsidR="00C84923" w:rsidRPr="00402133">
        <w:rPr>
          <w:rFonts w:asciiTheme="minorHAnsi" w:hAnsiTheme="minorHAnsi" w:cs="Times New Roman"/>
          <w:color w:val="002060"/>
        </w:rPr>
        <w:t xml:space="preserve"> as </w:t>
      </w:r>
      <w:r w:rsidR="001A7409">
        <w:rPr>
          <w:rFonts w:asciiTheme="minorHAnsi" w:hAnsiTheme="minorHAnsi" w:cs="Times New Roman"/>
          <w:color w:val="002060"/>
        </w:rPr>
        <w:t>projections</w:t>
      </w:r>
      <w:r w:rsidR="001A7409" w:rsidRPr="00402133">
        <w:rPr>
          <w:rFonts w:asciiTheme="minorHAnsi" w:hAnsiTheme="minorHAnsi" w:cs="Times New Roman"/>
          <w:color w:val="002060"/>
        </w:rPr>
        <w:t xml:space="preserve"> </w:t>
      </w:r>
      <w:r w:rsidR="00C84923" w:rsidRPr="00402133">
        <w:rPr>
          <w:rFonts w:asciiTheme="minorHAnsi" w:hAnsiTheme="minorHAnsi" w:cs="Times New Roman"/>
          <w:color w:val="002060"/>
        </w:rPr>
        <w:t>include students entering as late as May.</w:t>
      </w:r>
      <w:r w:rsidR="002B671C">
        <w:rPr>
          <w:rFonts w:asciiTheme="minorHAnsi" w:hAnsiTheme="minorHAnsi" w:cs="Times New Roman"/>
          <w:color w:val="002060"/>
        </w:rPr>
        <w:t xml:space="preserve"> </w:t>
      </w:r>
      <w:r w:rsidR="00C84923" w:rsidRPr="00402133">
        <w:rPr>
          <w:rFonts w:asciiTheme="minorHAnsi" w:hAnsiTheme="minorHAnsi" w:cs="Times New Roman"/>
          <w:color w:val="002060"/>
        </w:rPr>
        <w:t xml:space="preserve"> The public charter schools do</w:t>
      </w:r>
      <w:r w:rsidRPr="00402133">
        <w:rPr>
          <w:rFonts w:asciiTheme="minorHAnsi" w:hAnsiTheme="minorHAnsi" w:cs="Times New Roman"/>
          <w:color w:val="002060"/>
        </w:rPr>
        <w:t xml:space="preserve"> not include such an adjustment;</w:t>
      </w:r>
      <w:r w:rsidR="00C84923" w:rsidRPr="00402133">
        <w:rPr>
          <w:rFonts w:asciiTheme="minorHAnsi" w:hAnsiTheme="minorHAnsi" w:cs="Times New Roman"/>
          <w:color w:val="002060"/>
        </w:rPr>
        <w:t xml:space="preserve"> however </w:t>
      </w:r>
      <w:r w:rsidR="001A7409">
        <w:rPr>
          <w:rFonts w:asciiTheme="minorHAnsi" w:hAnsiTheme="minorHAnsi" w:cs="Times New Roman"/>
          <w:color w:val="002060"/>
        </w:rPr>
        <w:t>charter schools have historically experienced</w:t>
      </w:r>
      <w:r w:rsidR="001A7409" w:rsidRPr="00402133">
        <w:rPr>
          <w:rFonts w:asciiTheme="minorHAnsi" w:hAnsiTheme="minorHAnsi" w:cs="Times New Roman"/>
          <w:color w:val="002060"/>
        </w:rPr>
        <w:t xml:space="preserve"> </w:t>
      </w:r>
      <w:r w:rsidR="00C84923" w:rsidRPr="00402133">
        <w:rPr>
          <w:rFonts w:asciiTheme="minorHAnsi" w:hAnsiTheme="minorHAnsi" w:cs="Times New Roman"/>
          <w:color w:val="002060"/>
        </w:rPr>
        <w:t xml:space="preserve">an overall net loss </w:t>
      </w:r>
      <w:r w:rsidR="001A7409">
        <w:rPr>
          <w:rFonts w:asciiTheme="minorHAnsi" w:hAnsiTheme="minorHAnsi" w:cs="Times New Roman"/>
          <w:color w:val="002060"/>
        </w:rPr>
        <w:t>of</w:t>
      </w:r>
      <w:r w:rsidR="001A7409" w:rsidRPr="00402133">
        <w:rPr>
          <w:rFonts w:asciiTheme="minorHAnsi" w:hAnsiTheme="minorHAnsi" w:cs="Times New Roman"/>
          <w:color w:val="002060"/>
        </w:rPr>
        <w:t xml:space="preserve"> </w:t>
      </w:r>
      <w:r w:rsidR="00C84923" w:rsidRPr="00402133">
        <w:rPr>
          <w:rFonts w:asciiTheme="minorHAnsi" w:hAnsiTheme="minorHAnsi" w:cs="Times New Roman"/>
          <w:color w:val="002060"/>
        </w:rPr>
        <w:t>students during the course of the year</w:t>
      </w:r>
      <w:r w:rsidR="001A7409">
        <w:rPr>
          <w:rFonts w:asciiTheme="minorHAnsi" w:hAnsiTheme="minorHAnsi" w:cs="Times New Roman"/>
          <w:color w:val="002060"/>
        </w:rPr>
        <w:t xml:space="preserve">.  As </w:t>
      </w:r>
      <w:r w:rsidR="00C84923" w:rsidRPr="00402133">
        <w:rPr>
          <w:rFonts w:asciiTheme="minorHAnsi" w:hAnsiTheme="minorHAnsi" w:cs="Times New Roman"/>
          <w:color w:val="002060"/>
        </w:rPr>
        <w:t>such</w:t>
      </w:r>
      <w:r w:rsidR="001A7409">
        <w:rPr>
          <w:rFonts w:asciiTheme="minorHAnsi" w:hAnsiTheme="minorHAnsi" w:cs="Times New Roman"/>
          <w:color w:val="002060"/>
        </w:rPr>
        <w:t xml:space="preserve">, </w:t>
      </w:r>
      <w:r w:rsidR="00C84923" w:rsidRPr="00402133">
        <w:rPr>
          <w:rFonts w:asciiTheme="minorHAnsi" w:hAnsiTheme="minorHAnsi" w:cs="Times New Roman"/>
          <w:color w:val="002060"/>
        </w:rPr>
        <w:t>a</w:t>
      </w:r>
      <w:r w:rsidR="001A7409">
        <w:rPr>
          <w:rFonts w:asciiTheme="minorHAnsi" w:hAnsiTheme="minorHAnsi" w:cs="Times New Roman"/>
          <w:color w:val="002060"/>
        </w:rPr>
        <w:t xml:space="preserve"> similar</w:t>
      </w:r>
      <w:r w:rsidR="00C84923" w:rsidRPr="00402133">
        <w:rPr>
          <w:rFonts w:asciiTheme="minorHAnsi" w:hAnsiTheme="minorHAnsi" w:cs="Times New Roman"/>
          <w:color w:val="002060"/>
        </w:rPr>
        <w:t xml:space="preserve"> adjustment would reduce their student count below the </w:t>
      </w:r>
      <w:r w:rsidR="001A7409">
        <w:rPr>
          <w:rFonts w:asciiTheme="minorHAnsi" w:hAnsiTheme="minorHAnsi" w:cs="Times New Roman"/>
          <w:color w:val="002060"/>
        </w:rPr>
        <w:t>level arrived at using the current full-year</w:t>
      </w:r>
      <w:r w:rsidR="00C84923" w:rsidRPr="00402133">
        <w:rPr>
          <w:rFonts w:asciiTheme="minorHAnsi" w:hAnsiTheme="minorHAnsi" w:cs="Times New Roman"/>
          <w:color w:val="002060"/>
        </w:rPr>
        <w:t xml:space="preserve"> methodology.</w:t>
      </w:r>
    </w:p>
    <w:p w14:paraId="15E7A8B3" w14:textId="77777777" w:rsidR="00C84923" w:rsidRDefault="00C84923" w:rsidP="005E66A0">
      <w:pPr>
        <w:pStyle w:val="ListParagraph"/>
        <w:ind w:left="360"/>
        <w:jc w:val="both"/>
        <w:rPr>
          <w:rFonts w:ascii="Times New Roman" w:hAnsi="Times New Roman" w:cs="Times New Roman"/>
          <w:sz w:val="24"/>
          <w:szCs w:val="24"/>
        </w:rPr>
      </w:pPr>
    </w:p>
    <w:p w14:paraId="733F9266"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During FY13, the District of Columbia Auditor conducted a review and released a report entitled “Non-District Resident Students Enrolled in Public Schools.”  The audit identified five recommendations to strengthen OSSE’s residency fraud program.  How does the FY15 budget reflect these recommendations?  Please detail the amount of funds and FTEs devoted to residency fraud prevention and investigations in FY15.  </w:t>
      </w:r>
    </w:p>
    <w:p w14:paraId="68E035CF" w14:textId="77777777" w:rsidR="004464EE" w:rsidRDefault="004464EE" w:rsidP="005E66A0">
      <w:pPr>
        <w:pStyle w:val="ListParagraph"/>
        <w:ind w:left="360"/>
        <w:jc w:val="both"/>
        <w:rPr>
          <w:rFonts w:ascii="Times New Roman" w:hAnsi="Times New Roman" w:cs="Times New Roman"/>
          <w:sz w:val="24"/>
          <w:szCs w:val="24"/>
        </w:rPr>
      </w:pPr>
    </w:p>
    <w:p w14:paraId="7C7D2F9F" w14:textId="77777777" w:rsidR="009A15B1" w:rsidRPr="002B671C" w:rsidRDefault="00B36B1F" w:rsidP="005E66A0">
      <w:pPr>
        <w:pStyle w:val="ListParagraph"/>
        <w:ind w:left="360"/>
        <w:jc w:val="both"/>
        <w:rPr>
          <w:rFonts w:asciiTheme="minorHAnsi" w:hAnsiTheme="minorHAnsi" w:cs="Times New Roman"/>
          <w:color w:val="002060"/>
        </w:rPr>
      </w:pPr>
      <w:r w:rsidRPr="002B671C">
        <w:rPr>
          <w:rFonts w:asciiTheme="minorHAnsi" w:hAnsiTheme="minorHAnsi" w:cs="Times New Roman"/>
          <w:color w:val="002060"/>
        </w:rPr>
        <w:t xml:space="preserve">In February 2014, OSSE’s Residency and Enrollment Office took on residency investigations for </w:t>
      </w:r>
      <w:r w:rsidR="00584789" w:rsidRPr="002B671C">
        <w:rPr>
          <w:rFonts w:asciiTheme="minorHAnsi" w:hAnsiTheme="minorHAnsi" w:cs="Times New Roman"/>
          <w:color w:val="002060"/>
        </w:rPr>
        <w:t>the Public Charter School Board (PCSB)</w:t>
      </w:r>
      <w:r w:rsidR="00A26BFD">
        <w:rPr>
          <w:rFonts w:asciiTheme="minorHAnsi" w:hAnsiTheme="minorHAnsi" w:cs="Times New Roman"/>
          <w:color w:val="002060"/>
        </w:rPr>
        <w:t>.  We</w:t>
      </w:r>
      <w:r w:rsidR="00584789" w:rsidRPr="002B671C">
        <w:rPr>
          <w:rFonts w:asciiTheme="minorHAnsi" w:hAnsiTheme="minorHAnsi" w:cs="Times New Roman"/>
          <w:color w:val="002060"/>
        </w:rPr>
        <w:t xml:space="preserve"> do not</w:t>
      </w:r>
      <w:r w:rsidR="00A26BFD">
        <w:rPr>
          <w:rFonts w:asciiTheme="minorHAnsi" w:hAnsiTheme="minorHAnsi" w:cs="Times New Roman"/>
          <w:color w:val="002060"/>
        </w:rPr>
        <w:t>, however,</w:t>
      </w:r>
      <w:r w:rsidR="00584789" w:rsidRPr="002B671C">
        <w:rPr>
          <w:rFonts w:asciiTheme="minorHAnsi" w:hAnsiTheme="minorHAnsi" w:cs="Times New Roman"/>
          <w:color w:val="002060"/>
        </w:rPr>
        <w:t xml:space="preserve"> currently offer this service to all LEAs.  Our goal is to centralize all residency investigations within OSSE once the residency re</w:t>
      </w:r>
      <w:r w:rsidR="00995E17" w:rsidRPr="002B671C">
        <w:rPr>
          <w:rFonts w:asciiTheme="minorHAnsi" w:hAnsiTheme="minorHAnsi" w:cs="Times New Roman"/>
          <w:color w:val="002060"/>
        </w:rPr>
        <w:t>gulation</w:t>
      </w:r>
      <w:r w:rsidR="00DB482C" w:rsidRPr="002B671C">
        <w:rPr>
          <w:rFonts w:asciiTheme="minorHAnsi" w:hAnsiTheme="minorHAnsi" w:cs="Times New Roman"/>
          <w:color w:val="002060"/>
        </w:rPr>
        <w:t>s have been adopted, which should be by the beginning of FY15.</w:t>
      </w:r>
      <w:r w:rsidR="00C1587A" w:rsidRPr="002B671C">
        <w:rPr>
          <w:rFonts w:asciiTheme="minorHAnsi" w:hAnsiTheme="minorHAnsi" w:cs="Times New Roman"/>
          <w:color w:val="002060"/>
        </w:rPr>
        <w:t xml:space="preserve">  </w:t>
      </w:r>
    </w:p>
    <w:p w14:paraId="6998D667" w14:textId="77777777" w:rsidR="00C1587A" w:rsidRPr="002B671C" w:rsidRDefault="00C1587A" w:rsidP="005E66A0">
      <w:pPr>
        <w:pStyle w:val="ListParagraph"/>
        <w:ind w:left="360"/>
        <w:jc w:val="both"/>
        <w:rPr>
          <w:rFonts w:asciiTheme="minorHAnsi" w:hAnsiTheme="minorHAnsi" w:cs="Times New Roman"/>
          <w:color w:val="002060"/>
        </w:rPr>
      </w:pPr>
    </w:p>
    <w:p w14:paraId="27662023" w14:textId="385053F0" w:rsidR="00C1587A" w:rsidRPr="005C2B10" w:rsidRDefault="00AA06A4" w:rsidP="005C2B10">
      <w:pPr>
        <w:pStyle w:val="ListParagraph"/>
        <w:ind w:left="360"/>
        <w:jc w:val="both"/>
        <w:rPr>
          <w:rFonts w:asciiTheme="minorHAnsi" w:hAnsiTheme="minorHAnsi" w:cs="Times New Roman"/>
          <w:color w:val="002060"/>
        </w:rPr>
      </w:pPr>
      <w:r>
        <w:rPr>
          <w:rFonts w:asciiTheme="minorHAnsi" w:hAnsiTheme="minorHAnsi" w:cs="Times New Roman"/>
          <w:color w:val="002060"/>
        </w:rPr>
        <w:t xml:space="preserve">OSSE will utilize the non-resident tuition funds collected by the LEAs to support an expansion of the residency office.  </w:t>
      </w:r>
      <w:r w:rsidR="00DE6CD0">
        <w:rPr>
          <w:rFonts w:asciiTheme="minorHAnsi" w:hAnsiTheme="minorHAnsi" w:cs="Times New Roman"/>
          <w:color w:val="002060"/>
        </w:rPr>
        <w:t>Additionally OSSE is awaiting non-resident tuition payments from DCPS.  Once we have rec</w:t>
      </w:r>
      <w:r w:rsidR="00CD1230">
        <w:rPr>
          <w:rFonts w:asciiTheme="minorHAnsi" w:hAnsiTheme="minorHAnsi" w:cs="Times New Roman"/>
          <w:color w:val="002060"/>
        </w:rPr>
        <w:t>eived those, we</w:t>
      </w:r>
      <w:r w:rsidR="00DE6CD0">
        <w:rPr>
          <w:rFonts w:asciiTheme="minorHAnsi" w:hAnsiTheme="minorHAnsi" w:cs="Times New Roman"/>
          <w:color w:val="002060"/>
        </w:rPr>
        <w:t xml:space="preserve"> will obtain budget authority with regard to those funds and use them to support residency fraud prevention and investigation.</w:t>
      </w:r>
      <w:r w:rsidR="005C2B10">
        <w:rPr>
          <w:rFonts w:asciiTheme="minorHAnsi" w:hAnsiTheme="minorHAnsi" w:cs="Times New Roman"/>
          <w:color w:val="002060"/>
        </w:rPr>
        <w:t xml:space="preserve">  Further, </w:t>
      </w:r>
      <w:r w:rsidR="000837A1" w:rsidRPr="005C2B10">
        <w:rPr>
          <w:rFonts w:asciiTheme="minorHAnsi" w:hAnsiTheme="minorHAnsi" w:cs="Times New Roman"/>
          <w:color w:val="002060"/>
        </w:rPr>
        <w:t>OSSE</w:t>
      </w:r>
      <w:r w:rsidR="00D4425C">
        <w:rPr>
          <w:rFonts w:asciiTheme="minorHAnsi" w:hAnsiTheme="minorHAnsi" w:cs="Times New Roman"/>
          <w:color w:val="002060"/>
        </w:rPr>
        <w:t xml:space="preserve"> has taken and</w:t>
      </w:r>
      <w:r w:rsidR="000837A1" w:rsidRPr="005C2B10">
        <w:rPr>
          <w:rFonts w:asciiTheme="minorHAnsi" w:hAnsiTheme="minorHAnsi" w:cs="Times New Roman"/>
          <w:color w:val="002060"/>
        </w:rPr>
        <w:t xml:space="preserve"> will</w:t>
      </w:r>
      <w:r w:rsidR="00D4425C">
        <w:rPr>
          <w:rFonts w:asciiTheme="minorHAnsi" w:hAnsiTheme="minorHAnsi" w:cs="Times New Roman"/>
          <w:color w:val="002060"/>
        </w:rPr>
        <w:t xml:space="preserve"> continue to</w:t>
      </w:r>
      <w:r w:rsidR="000837A1" w:rsidRPr="005C2B10">
        <w:rPr>
          <w:rFonts w:asciiTheme="minorHAnsi" w:hAnsiTheme="minorHAnsi" w:cs="Times New Roman"/>
          <w:color w:val="002060"/>
        </w:rPr>
        <w:t xml:space="preserve"> take</w:t>
      </w:r>
      <w:r w:rsidR="00514A35" w:rsidRPr="005C2B10">
        <w:rPr>
          <w:rFonts w:asciiTheme="minorHAnsi" w:hAnsiTheme="minorHAnsi" w:cs="Times New Roman"/>
          <w:color w:val="002060"/>
        </w:rPr>
        <w:t xml:space="preserve"> the steps outlined below to implement the D.C. Auditor’s five recommendations.</w:t>
      </w:r>
    </w:p>
    <w:p w14:paraId="13EB95B7" w14:textId="77777777" w:rsidR="00514A35" w:rsidRPr="00B97784" w:rsidRDefault="00514A35" w:rsidP="005E66A0">
      <w:pPr>
        <w:pStyle w:val="ListParagraph"/>
        <w:ind w:left="360"/>
        <w:jc w:val="both"/>
        <w:rPr>
          <w:rFonts w:asciiTheme="minorHAnsi" w:hAnsiTheme="minorHAnsi" w:cs="Times New Roman"/>
          <w:color w:val="002060"/>
        </w:rPr>
      </w:pPr>
    </w:p>
    <w:tbl>
      <w:tblPr>
        <w:tblStyle w:val="TableGrid"/>
        <w:tblW w:w="4756" w:type="pct"/>
        <w:tblInd w:w="468" w:type="dxa"/>
        <w:tblLook w:val="04A0" w:firstRow="1" w:lastRow="0" w:firstColumn="1" w:lastColumn="0" w:noHBand="0" w:noVBand="1"/>
      </w:tblPr>
      <w:tblGrid>
        <w:gridCol w:w="4190"/>
        <w:gridCol w:w="4919"/>
      </w:tblGrid>
      <w:tr w:rsidR="00B97784" w:rsidRPr="00B97784" w14:paraId="29631817" w14:textId="77777777" w:rsidTr="00F77807">
        <w:tc>
          <w:tcPr>
            <w:tcW w:w="2300" w:type="pct"/>
          </w:tcPr>
          <w:p w14:paraId="4FDB4D65" w14:textId="77777777" w:rsidR="00514A35" w:rsidRPr="00B97784" w:rsidRDefault="00514A35" w:rsidP="006C1FC4">
            <w:pPr>
              <w:rPr>
                <w:rFonts w:asciiTheme="minorHAnsi" w:hAnsiTheme="minorHAnsi"/>
                <w:color w:val="002060"/>
              </w:rPr>
            </w:pPr>
            <w:r w:rsidRPr="00B97784">
              <w:rPr>
                <w:rFonts w:asciiTheme="minorHAnsi" w:hAnsiTheme="minorHAnsi"/>
                <w:color w:val="002060"/>
              </w:rPr>
              <w:t>DC Auditor Recommendations</w:t>
            </w:r>
          </w:p>
        </w:tc>
        <w:tc>
          <w:tcPr>
            <w:tcW w:w="2700" w:type="pct"/>
          </w:tcPr>
          <w:p w14:paraId="2B34F336" w14:textId="33F0AC60" w:rsidR="00514A35" w:rsidRPr="00B97784" w:rsidRDefault="00E44DE7" w:rsidP="006C1FC4">
            <w:pPr>
              <w:rPr>
                <w:rFonts w:asciiTheme="minorHAnsi" w:hAnsiTheme="minorHAnsi"/>
                <w:color w:val="002060"/>
              </w:rPr>
            </w:pPr>
            <w:r>
              <w:rPr>
                <w:rFonts w:asciiTheme="minorHAnsi" w:hAnsiTheme="minorHAnsi"/>
                <w:color w:val="002060"/>
              </w:rPr>
              <w:t>Agency’s Actions</w:t>
            </w:r>
          </w:p>
        </w:tc>
      </w:tr>
      <w:tr w:rsidR="00B97784" w:rsidRPr="00B97784" w14:paraId="67C109CF" w14:textId="77777777" w:rsidTr="001762A3">
        <w:trPr>
          <w:trHeight w:val="1430"/>
        </w:trPr>
        <w:tc>
          <w:tcPr>
            <w:tcW w:w="2300" w:type="pct"/>
          </w:tcPr>
          <w:p w14:paraId="599FEA0B" w14:textId="77777777" w:rsidR="00514A35" w:rsidRPr="00B97784" w:rsidRDefault="00514A35" w:rsidP="00092B6F">
            <w:pPr>
              <w:rPr>
                <w:rFonts w:asciiTheme="minorHAnsi" w:hAnsiTheme="minorHAnsi"/>
                <w:color w:val="002060"/>
              </w:rPr>
            </w:pPr>
            <w:r w:rsidRPr="00B97784">
              <w:rPr>
                <w:rFonts w:asciiTheme="minorHAnsi" w:hAnsiTheme="minorHAnsi"/>
                <w:color w:val="002060"/>
                <w:u w:val="single"/>
              </w:rPr>
              <w:t>Recommendation 1</w:t>
            </w:r>
            <w:r w:rsidRPr="00B97784">
              <w:rPr>
                <w:rFonts w:asciiTheme="minorHAnsi" w:hAnsiTheme="minorHAnsi"/>
                <w:color w:val="002060"/>
              </w:rPr>
              <w:t>: Work with schools to ensure all eligible students are enrolled before non-resident students in accordance with legal requirements.</w:t>
            </w:r>
          </w:p>
        </w:tc>
        <w:tc>
          <w:tcPr>
            <w:tcW w:w="2700" w:type="pct"/>
          </w:tcPr>
          <w:p w14:paraId="1CE0664B" w14:textId="510DF047" w:rsidR="00514A35" w:rsidRPr="00B97784" w:rsidRDefault="00514A35" w:rsidP="00092B6F">
            <w:pPr>
              <w:rPr>
                <w:rFonts w:asciiTheme="minorHAnsi" w:hAnsiTheme="minorHAnsi"/>
                <w:color w:val="002060"/>
              </w:rPr>
            </w:pPr>
            <w:r w:rsidRPr="00B97784">
              <w:rPr>
                <w:rFonts w:asciiTheme="minorHAnsi" w:hAnsiTheme="minorHAnsi"/>
                <w:color w:val="002060"/>
              </w:rPr>
              <w:t xml:space="preserve">OSSE’s Residency </w:t>
            </w:r>
            <w:r w:rsidR="00827F0E">
              <w:rPr>
                <w:rFonts w:asciiTheme="minorHAnsi" w:hAnsiTheme="minorHAnsi"/>
                <w:color w:val="002060"/>
              </w:rPr>
              <w:t xml:space="preserve">and Enrollment Office conducts </w:t>
            </w:r>
            <w:r w:rsidRPr="00B97784">
              <w:rPr>
                <w:rFonts w:asciiTheme="minorHAnsi" w:hAnsiTheme="minorHAnsi"/>
                <w:color w:val="002060"/>
              </w:rPr>
              <w:t>schoo</w:t>
            </w:r>
            <w:r w:rsidR="002443E9">
              <w:rPr>
                <w:rFonts w:asciiTheme="minorHAnsi" w:hAnsiTheme="minorHAnsi"/>
                <w:color w:val="002060"/>
              </w:rPr>
              <w:t xml:space="preserve">l-level technical assistance and provide </w:t>
            </w:r>
            <w:r w:rsidRPr="00B97784">
              <w:rPr>
                <w:rFonts w:asciiTheme="minorHAnsi" w:hAnsiTheme="minorHAnsi"/>
                <w:color w:val="002060"/>
              </w:rPr>
              <w:t>student enrollment</w:t>
            </w:r>
            <w:r w:rsidR="002443E9">
              <w:rPr>
                <w:rFonts w:asciiTheme="minorHAnsi" w:hAnsiTheme="minorHAnsi"/>
                <w:color w:val="002060"/>
              </w:rPr>
              <w:t xml:space="preserve"> guidance</w:t>
            </w:r>
            <w:r w:rsidRPr="00B97784">
              <w:rPr>
                <w:rFonts w:asciiTheme="minorHAnsi" w:hAnsiTheme="minorHAnsi"/>
                <w:color w:val="002060"/>
              </w:rPr>
              <w:t xml:space="preserve"> to LEAs through the distribution of the Student Enrollment Auditor.</w:t>
            </w:r>
          </w:p>
        </w:tc>
      </w:tr>
      <w:tr w:rsidR="00B97784" w:rsidRPr="00B97784" w14:paraId="2A8C1B4D" w14:textId="77777777" w:rsidTr="00F77807">
        <w:tc>
          <w:tcPr>
            <w:tcW w:w="2300" w:type="pct"/>
          </w:tcPr>
          <w:p w14:paraId="73A23DBC" w14:textId="77777777" w:rsidR="00514A35" w:rsidRPr="00B97784" w:rsidRDefault="00514A35" w:rsidP="00092B6F">
            <w:pPr>
              <w:rPr>
                <w:rFonts w:asciiTheme="minorHAnsi" w:hAnsiTheme="minorHAnsi"/>
                <w:color w:val="002060"/>
              </w:rPr>
            </w:pPr>
            <w:r w:rsidRPr="00B97784">
              <w:rPr>
                <w:rFonts w:asciiTheme="minorHAnsi" w:hAnsiTheme="minorHAnsi"/>
                <w:color w:val="002060"/>
                <w:u w:val="single"/>
              </w:rPr>
              <w:t>Recommendation 2</w:t>
            </w:r>
            <w:r w:rsidRPr="00B97784">
              <w:rPr>
                <w:rFonts w:asciiTheme="minorHAnsi" w:hAnsiTheme="minorHAnsi"/>
                <w:color w:val="002060"/>
              </w:rPr>
              <w:t>: Ensure tuition is calculated and deposited in accordance with the law.</w:t>
            </w:r>
          </w:p>
        </w:tc>
        <w:tc>
          <w:tcPr>
            <w:tcW w:w="2700" w:type="pct"/>
          </w:tcPr>
          <w:p w14:paraId="322758F2" w14:textId="1BD2D4C1" w:rsidR="00514A35" w:rsidRPr="00B97784" w:rsidRDefault="00514A35" w:rsidP="00092B6F">
            <w:pPr>
              <w:rPr>
                <w:rFonts w:asciiTheme="minorHAnsi" w:hAnsiTheme="minorHAnsi"/>
                <w:color w:val="002060"/>
              </w:rPr>
            </w:pPr>
            <w:r w:rsidRPr="00B97784">
              <w:rPr>
                <w:rFonts w:asciiTheme="minorHAnsi" w:hAnsiTheme="minorHAnsi"/>
                <w:color w:val="002060"/>
              </w:rPr>
              <w:t>OSSE’s Resi</w:t>
            </w:r>
            <w:r w:rsidR="00827F0E">
              <w:rPr>
                <w:rFonts w:asciiTheme="minorHAnsi" w:hAnsiTheme="minorHAnsi"/>
                <w:color w:val="002060"/>
              </w:rPr>
              <w:t>dency and Enrollment Office</w:t>
            </w:r>
            <w:r w:rsidRPr="00B97784">
              <w:rPr>
                <w:rFonts w:asciiTheme="minorHAnsi" w:hAnsiTheme="minorHAnsi"/>
                <w:color w:val="002060"/>
              </w:rPr>
              <w:t xml:space="preserve"> provide</w:t>
            </w:r>
            <w:r w:rsidR="00827F0E">
              <w:rPr>
                <w:rFonts w:asciiTheme="minorHAnsi" w:hAnsiTheme="minorHAnsi"/>
                <w:color w:val="002060"/>
              </w:rPr>
              <w:t>s</w:t>
            </w:r>
            <w:r w:rsidRPr="00B97784">
              <w:rPr>
                <w:rFonts w:asciiTheme="minorHAnsi" w:hAnsiTheme="minorHAnsi"/>
                <w:color w:val="002060"/>
              </w:rPr>
              <w:t xml:space="preserve"> writ</w:t>
            </w:r>
            <w:r w:rsidR="00827F0E">
              <w:rPr>
                <w:rFonts w:asciiTheme="minorHAnsi" w:hAnsiTheme="minorHAnsi"/>
                <w:color w:val="002060"/>
              </w:rPr>
              <w:t xml:space="preserve">ten guidance to LEA(s) and </w:t>
            </w:r>
            <w:r w:rsidRPr="00B97784">
              <w:rPr>
                <w:rFonts w:asciiTheme="minorHAnsi" w:hAnsiTheme="minorHAnsi"/>
                <w:color w:val="002060"/>
              </w:rPr>
              <w:t>hold</w:t>
            </w:r>
            <w:r w:rsidR="00827F0E">
              <w:rPr>
                <w:rFonts w:asciiTheme="minorHAnsi" w:hAnsiTheme="minorHAnsi"/>
                <w:color w:val="002060"/>
              </w:rPr>
              <w:t>s</w:t>
            </w:r>
            <w:r w:rsidRPr="00B97784">
              <w:rPr>
                <w:rFonts w:asciiTheme="minorHAnsi" w:hAnsiTheme="minorHAnsi"/>
                <w:color w:val="002060"/>
              </w:rPr>
              <w:t xml:space="preserve"> technical assistance sessions to ensure tuition payments are sent to OSSE and deposited to the state residency fund</w:t>
            </w:r>
            <w:r w:rsidR="003B4AFD" w:rsidRPr="00B97784">
              <w:rPr>
                <w:rFonts w:asciiTheme="minorHAnsi" w:hAnsiTheme="minorHAnsi"/>
                <w:color w:val="002060"/>
              </w:rPr>
              <w:t>.</w:t>
            </w:r>
            <w:r w:rsidR="00827F0E">
              <w:rPr>
                <w:rFonts w:asciiTheme="minorHAnsi" w:hAnsiTheme="minorHAnsi"/>
                <w:color w:val="002060"/>
              </w:rPr>
              <w:t xml:space="preserve">  The guidance </w:t>
            </w:r>
            <w:r w:rsidRPr="00B97784">
              <w:rPr>
                <w:rFonts w:asciiTheme="minorHAnsi" w:hAnsiTheme="minorHAnsi"/>
                <w:color w:val="002060"/>
              </w:rPr>
              <w:t>include</w:t>
            </w:r>
            <w:r w:rsidR="00827F0E">
              <w:rPr>
                <w:rFonts w:asciiTheme="minorHAnsi" w:hAnsiTheme="minorHAnsi"/>
                <w:color w:val="002060"/>
              </w:rPr>
              <w:t>s</w:t>
            </w:r>
            <w:r w:rsidRPr="00B97784">
              <w:rPr>
                <w:rFonts w:asciiTheme="minorHAnsi" w:hAnsiTheme="minorHAnsi"/>
                <w:color w:val="002060"/>
              </w:rPr>
              <w:t xml:space="preserve"> procedures for accepting and enrolling non-resident students and for calculating and obtaining students’ tuition payments.    </w:t>
            </w:r>
          </w:p>
        </w:tc>
      </w:tr>
      <w:tr w:rsidR="00B97784" w:rsidRPr="00B97784" w14:paraId="52728386" w14:textId="77777777" w:rsidTr="00F77807">
        <w:trPr>
          <w:trHeight w:val="70"/>
        </w:trPr>
        <w:tc>
          <w:tcPr>
            <w:tcW w:w="2300" w:type="pct"/>
          </w:tcPr>
          <w:p w14:paraId="5C001537" w14:textId="77777777" w:rsidR="00514A35" w:rsidRPr="00B97784" w:rsidRDefault="00514A35" w:rsidP="00092B6F">
            <w:pPr>
              <w:rPr>
                <w:rFonts w:asciiTheme="minorHAnsi" w:hAnsiTheme="minorHAnsi"/>
                <w:color w:val="002060"/>
              </w:rPr>
            </w:pPr>
            <w:r w:rsidRPr="00B97784">
              <w:rPr>
                <w:rFonts w:asciiTheme="minorHAnsi" w:hAnsiTheme="minorHAnsi"/>
                <w:color w:val="002060"/>
                <w:u w:val="single"/>
              </w:rPr>
              <w:t>Recommendation 3:</w:t>
            </w:r>
            <w:r w:rsidRPr="00B97784">
              <w:rPr>
                <w:rFonts w:asciiTheme="minorHAnsi" w:hAnsiTheme="minorHAnsi"/>
                <w:color w:val="002060"/>
              </w:rPr>
              <w:t>Work with schools to ensure that:</w:t>
            </w:r>
          </w:p>
          <w:p w14:paraId="0A3ABA52" w14:textId="77777777" w:rsidR="00514A35" w:rsidRPr="00B97784" w:rsidRDefault="00514A35" w:rsidP="00092B6F">
            <w:pPr>
              <w:pStyle w:val="ListParagraph"/>
              <w:numPr>
                <w:ilvl w:val="0"/>
                <w:numId w:val="31"/>
              </w:numPr>
              <w:contextualSpacing w:val="0"/>
              <w:rPr>
                <w:rFonts w:asciiTheme="minorHAnsi" w:hAnsiTheme="minorHAnsi"/>
                <w:color w:val="002060"/>
              </w:rPr>
            </w:pPr>
            <w:r w:rsidRPr="00B97784">
              <w:rPr>
                <w:rFonts w:asciiTheme="minorHAnsi" w:hAnsiTheme="minorHAnsi"/>
                <w:color w:val="002060"/>
              </w:rPr>
              <w:t>There is only one District residency fraud hotline.</w:t>
            </w:r>
          </w:p>
          <w:p w14:paraId="0A0A9F61" w14:textId="77777777" w:rsidR="00514A35" w:rsidRPr="00B97784" w:rsidRDefault="00514A35" w:rsidP="00092B6F">
            <w:pPr>
              <w:pStyle w:val="ListParagraph"/>
              <w:numPr>
                <w:ilvl w:val="0"/>
                <w:numId w:val="31"/>
              </w:numPr>
              <w:contextualSpacing w:val="0"/>
              <w:rPr>
                <w:rFonts w:asciiTheme="minorHAnsi" w:hAnsiTheme="minorHAnsi"/>
                <w:color w:val="002060"/>
              </w:rPr>
            </w:pPr>
            <w:r w:rsidRPr="00B97784">
              <w:rPr>
                <w:rFonts w:asciiTheme="minorHAnsi" w:hAnsiTheme="minorHAnsi"/>
                <w:color w:val="002060"/>
              </w:rPr>
              <w:t>It is promoted in accordance with the law.</w:t>
            </w:r>
          </w:p>
          <w:p w14:paraId="5490F992" w14:textId="77777777" w:rsidR="00514A35" w:rsidRPr="00B97784" w:rsidRDefault="00514A35" w:rsidP="00092B6F">
            <w:pPr>
              <w:pStyle w:val="ListParagraph"/>
              <w:numPr>
                <w:ilvl w:val="0"/>
                <w:numId w:val="31"/>
              </w:numPr>
              <w:contextualSpacing w:val="0"/>
              <w:rPr>
                <w:rFonts w:asciiTheme="minorHAnsi" w:hAnsiTheme="minorHAnsi"/>
                <w:color w:val="002060"/>
              </w:rPr>
            </w:pPr>
            <w:r w:rsidRPr="00B97784">
              <w:rPr>
                <w:rFonts w:asciiTheme="minorHAnsi" w:hAnsiTheme="minorHAnsi"/>
                <w:color w:val="002060"/>
              </w:rPr>
              <w:t>Investigations are performed in accordance with the law.</w:t>
            </w:r>
          </w:p>
        </w:tc>
        <w:tc>
          <w:tcPr>
            <w:tcW w:w="2700" w:type="pct"/>
          </w:tcPr>
          <w:p w14:paraId="58C32BC1" w14:textId="0238B427" w:rsidR="00514A35" w:rsidRPr="00B97784" w:rsidRDefault="00827F0E" w:rsidP="002443E9">
            <w:pPr>
              <w:rPr>
                <w:rFonts w:asciiTheme="minorHAnsi" w:hAnsiTheme="minorHAnsi"/>
                <w:color w:val="002060"/>
              </w:rPr>
            </w:pPr>
            <w:r>
              <w:rPr>
                <w:rFonts w:asciiTheme="minorHAnsi" w:hAnsiTheme="minorHAnsi"/>
                <w:color w:val="002060"/>
              </w:rPr>
              <w:t xml:space="preserve">In FY15, </w:t>
            </w:r>
            <w:r w:rsidR="00514A35" w:rsidRPr="00B97784">
              <w:rPr>
                <w:rFonts w:asciiTheme="minorHAnsi" w:hAnsiTheme="minorHAnsi"/>
                <w:color w:val="002060"/>
              </w:rPr>
              <w:t>OSSE’s residency and enrollment office will be the one centralized point for residency fraud and investigations, streamlining the work across agencies (PCSB, OSSE, and DCPS) and eliminating duplication.</w:t>
            </w:r>
            <w:r w:rsidR="00190D74" w:rsidRPr="00B97784">
              <w:rPr>
                <w:rFonts w:asciiTheme="minorHAnsi" w:hAnsiTheme="minorHAnsi"/>
                <w:color w:val="002060"/>
              </w:rPr>
              <w:t xml:space="preserve"> </w:t>
            </w:r>
            <w:r w:rsidR="00514A35" w:rsidRPr="00B97784">
              <w:rPr>
                <w:rFonts w:asciiTheme="minorHAnsi" w:hAnsiTheme="minorHAnsi"/>
                <w:color w:val="002060"/>
              </w:rPr>
              <w:t xml:space="preserve"> </w:t>
            </w:r>
          </w:p>
        </w:tc>
      </w:tr>
      <w:tr w:rsidR="00B97784" w:rsidRPr="00B97784" w14:paraId="3803A718" w14:textId="77777777" w:rsidTr="00F77807">
        <w:tc>
          <w:tcPr>
            <w:tcW w:w="2300" w:type="pct"/>
          </w:tcPr>
          <w:p w14:paraId="0E2C818D" w14:textId="77777777" w:rsidR="00514A35" w:rsidRPr="00B97784" w:rsidRDefault="00514A35" w:rsidP="00092B6F">
            <w:pPr>
              <w:rPr>
                <w:rFonts w:asciiTheme="minorHAnsi" w:hAnsiTheme="minorHAnsi"/>
                <w:color w:val="002060"/>
              </w:rPr>
            </w:pPr>
            <w:r w:rsidRPr="00B97784">
              <w:rPr>
                <w:rFonts w:asciiTheme="minorHAnsi" w:hAnsiTheme="minorHAnsi"/>
                <w:color w:val="002060"/>
                <w:u w:val="single"/>
              </w:rPr>
              <w:lastRenderedPageBreak/>
              <w:t>Recommendation 4:</w:t>
            </w:r>
            <w:r w:rsidRPr="00B97784">
              <w:rPr>
                <w:rFonts w:asciiTheme="minorHAnsi" w:hAnsiTheme="minorHAnsi"/>
                <w:color w:val="002060"/>
              </w:rPr>
              <w:t xml:space="preserve"> Comply with the legal requirements and spend from the Residency Fund to support investigations</w:t>
            </w:r>
          </w:p>
        </w:tc>
        <w:tc>
          <w:tcPr>
            <w:tcW w:w="2700" w:type="pct"/>
          </w:tcPr>
          <w:p w14:paraId="5C72B7D7" w14:textId="088B63A0" w:rsidR="00514A35" w:rsidRPr="00B97784" w:rsidRDefault="00BA7A71" w:rsidP="00092B6F">
            <w:pPr>
              <w:rPr>
                <w:rFonts w:asciiTheme="minorHAnsi" w:hAnsiTheme="minorHAnsi"/>
                <w:color w:val="002060"/>
              </w:rPr>
            </w:pPr>
            <w:r>
              <w:rPr>
                <w:rFonts w:asciiTheme="minorHAnsi" w:hAnsiTheme="minorHAnsi"/>
                <w:color w:val="002060"/>
              </w:rPr>
              <w:t xml:space="preserve">In FY15, </w:t>
            </w:r>
            <w:r w:rsidR="00514A35" w:rsidRPr="00B97784">
              <w:rPr>
                <w:rFonts w:asciiTheme="minorHAnsi" w:hAnsiTheme="minorHAnsi"/>
                <w:color w:val="002060"/>
              </w:rPr>
              <w:t xml:space="preserve">OSSE’s Residency and Enrollment Office will work to strengthen systems to ensure compliance with the residency law mandates, including appropriate actions following investigations. </w:t>
            </w:r>
            <w:r w:rsidR="00A623DC" w:rsidRPr="00B97784">
              <w:rPr>
                <w:rFonts w:asciiTheme="minorHAnsi" w:hAnsiTheme="minorHAnsi"/>
                <w:color w:val="002060"/>
              </w:rPr>
              <w:t xml:space="preserve"> </w:t>
            </w:r>
            <w:r w:rsidR="00514A35" w:rsidRPr="00B97784">
              <w:rPr>
                <w:rFonts w:asciiTheme="minorHAnsi" w:hAnsiTheme="minorHAnsi"/>
                <w:color w:val="002060"/>
              </w:rPr>
              <w:t xml:space="preserve">Specifically, the Residency and Enrollment office will support the salaries of staff and establish contracts (when necessary) to support residency investigations.  </w:t>
            </w:r>
          </w:p>
        </w:tc>
      </w:tr>
      <w:tr w:rsidR="00B97784" w:rsidRPr="00B97784" w14:paraId="36DB633E" w14:textId="77777777" w:rsidTr="00F77807">
        <w:tc>
          <w:tcPr>
            <w:tcW w:w="2300" w:type="pct"/>
          </w:tcPr>
          <w:p w14:paraId="7F2E2473" w14:textId="77777777" w:rsidR="00514A35" w:rsidRPr="00B97784" w:rsidRDefault="00514A35" w:rsidP="00092B6F">
            <w:pPr>
              <w:rPr>
                <w:rFonts w:asciiTheme="minorHAnsi" w:hAnsiTheme="minorHAnsi"/>
                <w:color w:val="002060"/>
              </w:rPr>
            </w:pPr>
            <w:r w:rsidRPr="00B97784">
              <w:rPr>
                <w:rFonts w:asciiTheme="minorHAnsi" w:hAnsiTheme="minorHAnsi"/>
                <w:color w:val="002060"/>
                <w:u w:val="single"/>
              </w:rPr>
              <w:t>Recommendation 5:</w:t>
            </w:r>
            <w:r w:rsidRPr="00B97784">
              <w:rPr>
                <w:rFonts w:asciiTheme="minorHAnsi" w:hAnsiTheme="minorHAnsi"/>
                <w:color w:val="002060"/>
              </w:rPr>
              <w:t xml:space="preserve"> Incorporate additional internal controls to enhance the program</w:t>
            </w:r>
          </w:p>
        </w:tc>
        <w:tc>
          <w:tcPr>
            <w:tcW w:w="2700" w:type="pct"/>
          </w:tcPr>
          <w:p w14:paraId="28393CBA" w14:textId="77777777" w:rsidR="00514A35" w:rsidRPr="00B97784" w:rsidRDefault="00514A35" w:rsidP="00092B6F">
            <w:pPr>
              <w:rPr>
                <w:rFonts w:asciiTheme="minorHAnsi" w:hAnsiTheme="minorHAnsi"/>
                <w:color w:val="002060"/>
              </w:rPr>
            </w:pPr>
            <w:r w:rsidRPr="00B97784">
              <w:rPr>
                <w:rFonts w:asciiTheme="minorHAnsi" w:hAnsiTheme="minorHAnsi"/>
                <w:color w:val="002060"/>
              </w:rPr>
              <w:t>OSSE’s Residency and Enrollment Office will develop additional internal controls to enhance the program.</w:t>
            </w:r>
          </w:p>
        </w:tc>
      </w:tr>
    </w:tbl>
    <w:p w14:paraId="197B19CB" w14:textId="77777777" w:rsidR="00514A35" w:rsidRDefault="00514A35" w:rsidP="005E66A0">
      <w:pPr>
        <w:pStyle w:val="ListParagraph"/>
        <w:ind w:left="360"/>
        <w:jc w:val="both"/>
        <w:rPr>
          <w:rFonts w:ascii="Times New Roman" w:hAnsi="Times New Roman" w:cs="Times New Roman"/>
          <w:sz w:val="24"/>
          <w:szCs w:val="24"/>
        </w:rPr>
      </w:pPr>
    </w:p>
    <w:p w14:paraId="2299332D" w14:textId="77777777" w:rsidR="009A15B1" w:rsidRDefault="009A15B1" w:rsidP="005E66A0">
      <w:pPr>
        <w:pStyle w:val="ListParagraph"/>
        <w:ind w:left="360"/>
        <w:jc w:val="both"/>
        <w:rPr>
          <w:rFonts w:ascii="Times New Roman" w:hAnsi="Times New Roman" w:cs="Times New Roman"/>
          <w:sz w:val="24"/>
          <w:szCs w:val="24"/>
        </w:rPr>
      </w:pPr>
    </w:p>
    <w:p w14:paraId="6A4D0230"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OSSE submitted a timeline to the Committee during the FY13 performance oversight hearing that outlined the implementation of an enhanced Quality Rating Improvement System (QRIS) for early childhood education.  Based on the dates in this submission, full implementation of the new QRIS will occur between June 2014 and January 2015.  Please detail the amount and type of funds budgeted in FY15 to support the implementation of an enhanced QRIS. </w:t>
      </w:r>
    </w:p>
    <w:p w14:paraId="2759D829" w14:textId="77777777" w:rsidR="004464EE" w:rsidRDefault="004464EE" w:rsidP="005E66A0">
      <w:pPr>
        <w:pStyle w:val="ListParagraph"/>
        <w:ind w:left="360"/>
        <w:jc w:val="both"/>
        <w:rPr>
          <w:rFonts w:ascii="Times New Roman" w:hAnsi="Times New Roman" w:cs="Times New Roman"/>
          <w:sz w:val="24"/>
          <w:szCs w:val="24"/>
        </w:rPr>
      </w:pPr>
    </w:p>
    <w:p w14:paraId="3CC665E0" w14:textId="0BFD2ED9" w:rsidR="00D66BED" w:rsidRPr="008273D9" w:rsidRDefault="00433151" w:rsidP="005E66A0">
      <w:pPr>
        <w:pStyle w:val="ListParagraph"/>
        <w:ind w:left="360"/>
        <w:jc w:val="both"/>
        <w:rPr>
          <w:rFonts w:asciiTheme="minorHAnsi" w:hAnsiTheme="minorHAnsi" w:cs="Times New Roman"/>
          <w:color w:val="002060"/>
        </w:rPr>
      </w:pPr>
      <w:r w:rsidRPr="008273D9">
        <w:rPr>
          <w:rFonts w:asciiTheme="minorHAnsi" w:hAnsiTheme="minorHAnsi" w:cs="Times New Roman"/>
          <w:color w:val="002060"/>
        </w:rPr>
        <w:t>Response Forthcoming</w:t>
      </w:r>
    </w:p>
    <w:p w14:paraId="223F1912" w14:textId="77777777" w:rsidR="00D66BED" w:rsidRDefault="00D66BED" w:rsidP="005E66A0">
      <w:pPr>
        <w:pStyle w:val="ListParagraph"/>
        <w:ind w:left="360"/>
        <w:jc w:val="both"/>
        <w:rPr>
          <w:rFonts w:ascii="Times New Roman" w:hAnsi="Times New Roman" w:cs="Times New Roman"/>
          <w:sz w:val="24"/>
          <w:szCs w:val="24"/>
        </w:rPr>
      </w:pPr>
    </w:p>
    <w:p w14:paraId="69B18115"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iCs/>
          <w:sz w:val="24"/>
          <w:szCs w:val="24"/>
        </w:rPr>
        <w:t xml:space="preserve">Due to concerns over OSSE’s fiscal control over funds used to support persistently low achieving school intervention activities under the Race to the Top program, the Department of Education placed the budget supporting this section of the grant on cost reimbursement basis. While on cost reimbursement basis, OSSE must receive approval from the Department to draw down funds to support its persistently low achieving schools intervention work.  What improvements and controls will OSSE implement in Year 4 of the Race to the Top program to ensure timely drawdown of Race to the Top funds? </w:t>
      </w:r>
    </w:p>
    <w:p w14:paraId="59B1EFA6" w14:textId="77777777" w:rsidR="00F9318C" w:rsidRDefault="00F9318C" w:rsidP="005E66A0">
      <w:pPr>
        <w:pStyle w:val="ListParagraph"/>
        <w:tabs>
          <w:tab w:val="left" w:pos="2655"/>
        </w:tabs>
        <w:ind w:left="360"/>
        <w:jc w:val="both"/>
        <w:rPr>
          <w:rFonts w:ascii="Times New Roman" w:hAnsi="Times New Roman" w:cs="Times New Roman"/>
          <w:sz w:val="24"/>
          <w:szCs w:val="24"/>
        </w:rPr>
      </w:pPr>
    </w:p>
    <w:p w14:paraId="1A439829" w14:textId="12CD5EC6" w:rsidR="00F9318C" w:rsidRPr="0082349F" w:rsidRDefault="00F9318C" w:rsidP="00F9318C">
      <w:pPr>
        <w:ind w:left="360"/>
        <w:jc w:val="both"/>
        <w:rPr>
          <w:rFonts w:asciiTheme="minorHAnsi" w:hAnsiTheme="minorHAnsi" w:cs="Times New Roman"/>
          <w:color w:val="002060"/>
        </w:rPr>
      </w:pPr>
      <w:r w:rsidRPr="0082349F">
        <w:rPr>
          <w:rFonts w:asciiTheme="minorHAnsi" w:hAnsiTheme="minorHAnsi" w:cs="Times New Roman"/>
          <w:color w:val="002060"/>
        </w:rPr>
        <w:t>The Turnaround project has a number of controls in place to ensure that implementa</w:t>
      </w:r>
      <w:r w:rsidR="0002604B">
        <w:rPr>
          <w:rFonts w:asciiTheme="minorHAnsi" w:hAnsiTheme="minorHAnsi" w:cs="Times New Roman"/>
          <w:color w:val="002060"/>
        </w:rPr>
        <w:t>tion is on track</w:t>
      </w:r>
      <w:r w:rsidR="00B81C57">
        <w:rPr>
          <w:rFonts w:asciiTheme="minorHAnsi" w:hAnsiTheme="minorHAnsi" w:cs="Times New Roman"/>
          <w:color w:val="002060"/>
        </w:rPr>
        <w:t>,</w:t>
      </w:r>
      <w:r w:rsidR="0002604B">
        <w:rPr>
          <w:rFonts w:asciiTheme="minorHAnsi" w:hAnsiTheme="minorHAnsi" w:cs="Times New Roman"/>
          <w:color w:val="002060"/>
        </w:rPr>
        <w:t xml:space="preserve"> and </w:t>
      </w:r>
      <w:proofErr w:type="gramStart"/>
      <w:r w:rsidR="001E736D">
        <w:rPr>
          <w:rFonts w:asciiTheme="minorHAnsi" w:hAnsiTheme="minorHAnsi" w:cs="Times New Roman"/>
          <w:color w:val="002060"/>
        </w:rPr>
        <w:t xml:space="preserve">that </w:t>
      </w:r>
      <w:r w:rsidRPr="0082349F">
        <w:rPr>
          <w:rFonts w:asciiTheme="minorHAnsi" w:hAnsiTheme="minorHAnsi" w:cs="Times New Roman"/>
          <w:color w:val="002060"/>
        </w:rPr>
        <w:t>funds</w:t>
      </w:r>
      <w:proofErr w:type="gramEnd"/>
      <w:r w:rsidRPr="0082349F">
        <w:rPr>
          <w:rFonts w:asciiTheme="minorHAnsi" w:hAnsiTheme="minorHAnsi" w:cs="Times New Roman"/>
          <w:color w:val="002060"/>
        </w:rPr>
        <w:t xml:space="preserve"> are drawn down </w:t>
      </w:r>
      <w:r w:rsidR="00B81C57">
        <w:rPr>
          <w:rFonts w:asciiTheme="minorHAnsi" w:hAnsiTheme="minorHAnsi" w:cs="Times New Roman"/>
          <w:color w:val="002060"/>
        </w:rPr>
        <w:t xml:space="preserve">in a </w:t>
      </w:r>
      <w:r w:rsidRPr="0082349F">
        <w:rPr>
          <w:rFonts w:asciiTheme="minorHAnsi" w:hAnsiTheme="minorHAnsi" w:cs="Times New Roman"/>
          <w:color w:val="002060"/>
        </w:rPr>
        <w:t>timely</w:t>
      </w:r>
      <w:r w:rsidR="00B81C57">
        <w:rPr>
          <w:rFonts w:asciiTheme="minorHAnsi" w:hAnsiTheme="minorHAnsi" w:cs="Times New Roman"/>
          <w:color w:val="002060"/>
        </w:rPr>
        <w:t xml:space="preserve"> manner</w:t>
      </w:r>
      <w:r w:rsidRPr="0082349F">
        <w:rPr>
          <w:rFonts w:asciiTheme="minorHAnsi" w:hAnsiTheme="minorHAnsi" w:cs="Times New Roman"/>
          <w:color w:val="002060"/>
        </w:rPr>
        <w:t xml:space="preserve">. </w:t>
      </w:r>
      <w:r w:rsidR="00B81C57">
        <w:rPr>
          <w:rFonts w:asciiTheme="minorHAnsi" w:hAnsiTheme="minorHAnsi" w:cs="Times New Roman"/>
          <w:color w:val="002060"/>
        </w:rPr>
        <w:t xml:space="preserve"> As the sole recipient of funds in this category for year 4, </w:t>
      </w:r>
      <w:r w:rsidRPr="0082349F">
        <w:rPr>
          <w:rFonts w:asciiTheme="minorHAnsi" w:hAnsiTheme="minorHAnsi" w:cs="Times New Roman"/>
          <w:color w:val="002060"/>
        </w:rPr>
        <w:t xml:space="preserve">DCPS must:  </w:t>
      </w:r>
    </w:p>
    <w:p w14:paraId="2E31231B" w14:textId="77777777" w:rsidR="00F9318C" w:rsidRPr="0082349F" w:rsidRDefault="00F9318C" w:rsidP="00F9318C">
      <w:pPr>
        <w:pStyle w:val="ListParagraph"/>
        <w:numPr>
          <w:ilvl w:val="0"/>
          <w:numId w:val="18"/>
        </w:numPr>
        <w:jc w:val="both"/>
        <w:rPr>
          <w:rFonts w:asciiTheme="minorHAnsi" w:hAnsiTheme="minorHAnsi" w:cs="Times New Roman"/>
          <w:color w:val="002060"/>
        </w:rPr>
      </w:pPr>
      <w:r w:rsidRPr="0082349F">
        <w:rPr>
          <w:rFonts w:asciiTheme="minorHAnsi" w:hAnsiTheme="minorHAnsi" w:cs="Times New Roman"/>
          <w:color w:val="002060"/>
        </w:rPr>
        <w:t>Submit Monthly Progress Report in an agreed-upon format on the 25</w:t>
      </w:r>
      <w:r w:rsidRPr="0082349F">
        <w:rPr>
          <w:rFonts w:asciiTheme="minorHAnsi" w:hAnsiTheme="minorHAnsi" w:cs="Times New Roman"/>
          <w:color w:val="002060"/>
          <w:vertAlign w:val="superscript"/>
        </w:rPr>
        <w:t>th</w:t>
      </w:r>
      <w:r w:rsidRPr="0082349F">
        <w:rPr>
          <w:rFonts w:asciiTheme="minorHAnsi" w:hAnsiTheme="minorHAnsi" w:cs="Times New Roman"/>
          <w:color w:val="002060"/>
        </w:rPr>
        <w:t xml:space="preserve"> of each month.</w:t>
      </w:r>
    </w:p>
    <w:p w14:paraId="2E1C7DDA" w14:textId="77777777" w:rsidR="00F9318C" w:rsidRPr="0082349F" w:rsidRDefault="00F9318C" w:rsidP="00F9318C">
      <w:pPr>
        <w:pStyle w:val="ListParagraph"/>
        <w:numPr>
          <w:ilvl w:val="0"/>
          <w:numId w:val="18"/>
        </w:numPr>
        <w:jc w:val="both"/>
        <w:rPr>
          <w:rFonts w:asciiTheme="minorHAnsi" w:hAnsiTheme="minorHAnsi" w:cs="Times New Roman"/>
          <w:color w:val="002060"/>
        </w:rPr>
      </w:pPr>
      <w:r w:rsidRPr="0082349F">
        <w:rPr>
          <w:rFonts w:asciiTheme="minorHAnsi" w:hAnsiTheme="minorHAnsi" w:cs="Times New Roman"/>
          <w:color w:val="002060"/>
        </w:rPr>
        <w:t>Submit expenditures on the 31</w:t>
      </w:r>
      <w:r w:rsidRPr="0082349F">
        <w:rPr>
          <w:rFonts w:asciiTheme="minorHAnsi" w:hAnsiTheme="minorHAnsi" w:cs="Times New Roman"/>
          <w:color w:val="002060"/>
          <w:vertAlign w:val="superscript"/>
        </w:rPr>
        <w:t>st</w:t>
      </w:r>
      <w:r w:rsidRPr="0082349F">
        <w:rPr>
          <w:rFonts w:asciiTheme="minorHAnsi" w:hAnsiTheme="minorHAnsi" w:cs="Times New Roman"/>
          <w:color w:val="002060"/>
        </w:rPr>
        <w:t xml:space="preserve"> of each month</w:t>
      </w:r>
    </w:p>
    <w:p w14:paraId="1614F322" w14:textId="77777777" w:rsidR="00F9318C" w:rsidRPr="0082349F" w:rsidRDefault="00F9318C" w:rsidP="00F9318C">
      <w:pPr>
        <w:pStyle w:val="ListParagraph"/>
        <w:numPr>
          <w:ilvl w:val="0"/>
          <w:numId w:val="18"/>
        </w:numPr>
        <w:jc w:val="both"/>
        <w:rPr>
          <w:rFonts w:asciiTheme="minorHAnsi" w:hAnsiTheme="minorHAnsi" w:cs="Times New Roman"/>
          <w:color w:val="002060"/>
        </w:rPr>
      </w:pPr>
      <w:r w:rsidRPr="0082349F">
        <w:rPr>
          <w:rFonts w:asciiTheme="minorHAnsi" w:hAnsiTheme="minorHAnsi" w:cs="Times New Roman"/>
          <w:color w:val="002060"/>
        </w:rPr>
        <w:t>Submit evidence of expenditures</w:t>
      </w:r>
    </w:p>
    <w:p w14:paraId="3CC01826" w14:textId="77777777" w:rsidR="00F9318C" w:rsidRPr="0082349F" w:rsidRDefault="00F9318C" w:rsidP="00F9318C">
      <w:pPr>
        <w:pStyle w:val="ListParagraph"/>
        <w:numPr>
          <w:ilvl w:val="0"/>
          <w:numId w:val="18"/>
        </w:numPr>
        <w:jc w:val="both"/>
        <w:rPr>
          <w:rFonts w:asciiTheme="minorHAnsi" w:hAnsiTheme="minorHAnsi" w:cs="Times New Roman"/>
          <w:color w:val="002060"/>
        </w:rPr>
      </w:pPr>
      <w:r w:rsidRPr="0082349F">
        <w:rPr>
          <w:rFonts w:asciiTheme="minorHAnsi" w:hAnsiTheme="minorHAnsi" w:cs="Times New Roman"/>
          <w:color w:val="002060"/>
        </w:rPr>
        <w:t xml:space="preserve">Conduct monthly check-ins with OSSE on the first Monday of each month </w:t>
      </w:r>
    </w:p>
    <w:p w14:paraId="306B3782" w14:textId="77777777" w:rsidR="00F9318C" w:rsidRPr="0082349F" w:rsidRDefault="00F9318C" w:rsidP="00F9318C">
      <w:pPr>
        <w:pStyle w:val="ListParagraph"/>
        <w:numPr>
          <w:ilvl w:val="0"/>
          <w:numId w:val="18"/>
        </w:numPr>
        <w:jc w:val="both"/>
        <w:rPr>
          <w:rFonts w:asciiTheme="minorHAnsi" w:hAnsiTheme="minorHAnsi" w:cs="Times New Roman"/>
          <w:color w:val="002060"/>
        </w:rPr>
      </w:pPr>
      <w:r w:rsidRPr="0082349F">
        <w:rPr>
          <w:rFonts w:asciiTheme="minorHAnsi" w:hAnsiTheme="minorHAnsi" w:cs="Times New Roman"/>
          <w:color w:val="002060"/>
        </w:rPr>
        <w:t xml:space="preserve">Participate in on-site monitoring visits of Turnaround programs (4x over the course of the year) </w:t>
      </w:r>
    </w:p>
    <w:p w14:paraId="1C3D3791" w14:textId="77777777" w:rsidR="00F9318C" w:rsidRPr="0082349F" w:rsidRDefault="00F9318C" w:rsidP="00F9318C">
      <w:pPr>
        <w:jc w:val="both"/>
        <w:rPr>
          <w:rFonts w:asciiTheme="minorHAnsi" w:hAnsiTheme="minorHAnsi" w:cs="Times New Roman"/>
          <w:color w:val="002060"/>
        </w:rPr>
      </w:pPr>
    </w:p>
    <w:p w14:paraId="73897822" w14:textId="77777777" w:rsidR="00F9318C" w:rsidRPr="0082349F" w:rsidRDefault="00F9318C" w:rsidP="00F9318C">
      <w:pPr>
        <w:ind w:left="360"/>
        <w:jc w:val="both"/>
        <w:rPr>
          <w:rFonts w:asciiTheme="minorHAnsi" w:hAnsiTheme="minorHAnsi" w:cs="Times New Roman"/>
          <w:color w:val="002060"/>
        </w:rPr>
      </w:pPr>
      <w:r w:rsidRPr="0082349F">
        <w:rPr>
          <w:rFonts w:asciiTheme="minorHAnsi" w:hAnsiTheme="minorHAnsi" w:cs="Times New Roman"/>
          <w:color w:val="002060"/>
        </w:rPr>
        <w:t xml:space="preserve">If DCPS does not demonstrate adequate progress in implementing their turnaround plans based on OSSE monitoring and agreed upon timelines, OSSE may repurpose some of the available funding for other school improvement activities at the state level, thus reducing the size of DCPS’s allocation. </w:t>
      </w:r>
    </w:p>
    <w:p w14:paraId="7BD2B4F9" w14:textId="77777777" w:rsidR="004464EE" w:rsidRPr="00F9318C" w:rsidRDefault="004464EE" w:rsidP="00F9318C">
      <w:pPr>
        <w:tabs>
          <w:tab w:val="left" w:pos="2655"/>
        </w:tabs>
        <w:jc w:val="both"/>
        <w:rPr>
          <w:rFonts w:ascii="Times New Roman" w:hAnsi="Times New Roman" w:cs="Times New Roman"/>
          <w:sz w:val="24"/>
          <w:szCs w:val="24"/>
        </w:rPr>
      </w:pPr>
      <w:r w:rsidRPr="00F9318C">
        <w:rPr>
          <w:rFonts w:ascii="Times New Roman" w:hAnsi="Times New Roman" w:cs="Times New Roman"/>
          <w:sz w:val="24"/>
          <w:szCs w:val="24"/>
        </w:rPr>
        <w:tab/>
      </w:r>
    </w:p>
    <w:p w14:paraId="5D75A1C7"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Please provide a narrative explanation of how OSSE developed the proposed FY15 budget for Post-Secondary Education and Workforce Readiness. Additionally please provide the spending plans and FTE allocation for Adult and Family Education and Career and Technical </w:t>
      </w:r>
      <w:r>
        <w:rPr>
          <w:rFonts w:ascii="Times New Roman" w:hAnsi="Times New Roman" w:cs="Times New Roman"/>
          <w:sz w:val="24"/>
          <w:szCs w:val="24"/>
        </w:rPr>
        <w:lastRenderedPageBreak/>
        <w:t xml:space="preserve">Education.  What programs do these funds support, how many students participate in each program, and what are outcomes for each program?   </w:t>
      </w:r>
    </w:p>
    <w:p w14:paraId="04CC29BC" w14:textId="77777777" w:rsidR="004464EE" w:rsidRDefault="004464EE" w:rsidP="005E66A0">
      <w:pPr>
        <w:pStyle w:val="ListParagraph"/>
        <w:ind w:left="360"/>
        <w:jc w:val="both"/>
        <w:rPr>
          <w:rFonts w:ascii="Times New Roman" w:hAnsi="Times New Roman" w:cs="Times New Roman"/>
          <w:sz w:val="24"/>
          <w:szCs w:val="24"/>
        </w:rPr>
      </w:pPr>
    </w:p>
    <w:p w14:paraId="2769CDFE" w14:textId="6BB99C08" w:rsidR="007B6065" w:rsidRPr="0082349F" w:rsidRDefault="007B6065" w:rsidP="005E66A0">
      <w:pPr>
        <w:pStyle w:val="ListParagraph"/>
        <w:ind w:left="360"/>
        <w:jc w:val="both"/>
        <w:rPr>
          <w:rFonts w:asciiTheme="minorHAnsi" w:hAnsiTheme="minorHAnsi" w:cs="Times New Roman"/>
          <w:color w:val="002060"/>
        </w:rPr>
      </w:pPr>
      <w:r w:rsidRPr="005D33DD">
        <w:rPr>
          <w:rFonts w:asciiTheme="minorHAnsi" w:hAnsiTheme="minorHAnsi" w:cs="Times New Roman"/>
          <w:color w:val="002060"/>
        </w:rPr>
        <w:t xml:space="preserve">During FY14, the Post-Secondary and Workforce Readiness Division was </w:t>
      </w:r>
      <w:r w:rsidR="00393F2A">
        <w:rPr>
          <w:rFonts w:asciiTheme="minorHAnsi" w:hAnsiTheme="minorHAnsi" w:cs="Times New Roman"/>
          <w:color w:val="002060"/>
        </w:rPr>
        <w:t>separated</w:t>
      </w:r>
      <w:r w:rsidR="00393F2A" w:rsidRPr="005D33DD">
        <w:rPr>
          <w:rFonts w:asciiTheme="minorHAnsi" w:hAnsiTheme="minorHAnsi" w:cs="Times New Roman"/>
          <w:color w:val="002060"/>
        </w:rPr>
        <w:t xml:space="preserve"> </w:t>
      </w:r>
      <w:r w:rsidRPr="005D33DD">
        <w:rPr>
          <w:rFonts w:asciiTheme="minorHAnsi" w:hAnsiTheme="minorHAnsi" w:cs="Times New Roman"/>
          <w:color w:val="002060"/>
        </w:rPr>
        <w:t>into two</w:t>
      </w:r>
      <w:r w:rsidR="00393F2A">
        <w:rPr>
          <w:rFonts w:asciiTheme="minorHAnsi" w:hAnsiTheme="minorHAnsi" w:cs="Times New Roman"/>
          <w:color w:val="002060"/>
        </w:rPr>
        <w:t xml:space="preserve"> divisions</w:t>
      </w:r>
      <w:r w:rsidRPr="005D33DD">
        <w:rPr>
          <w:rFonts w:asciiTheme="minorHAnsi" w:hAnsiTheme="minorHAnsi" w:cs="Times New Roman"/>
          <w:color w:val="002060"/>
        </w:rPr>
        <w:t xml:space="preserve"> – Post-Secondary and Adul</w:t>
      </w:r>
      <w:r w:rsidR="005D33DD" w:rsidRPr="005D33DD">
        <w:rPr>
          <w:rFonts w:asciiTheme="minorHAnsi" w:hAnsiTheme="minorHAnsi" w:cs="Times New Roman"/>
          <w:color w:val="002060"/>
        </w:rPr>
        <w:t>t an</w:t>
      </w:r>
      <w:r w:rsidR="00751426">
        <w:rPr>
          <w:rFonts w:asciiTheme="minorHAnsi" w:hAnsiTheme="minorHAnsi" w:cs="Times New Roman"/>
          <w:color w:val="002060"/>
        </w:rPr>
        <w:t>d Career</w:t>
      </w:r>
      <w:r w:rsidRPr="005D33DD">
        <w:rPr>
          <w:rFonts w:asciiTheme="minorHAnsi" w:hAnsiTheme="minorHAnsi" w:cs="Times New Roman"/>
          <w:color w:val="002060"/>
        </w:rPr>
        <w:t xml:space="preserve"> </w:t>
      </w:r>
      <w:r w:rsidR="00B86F0C" w:rsidRPr="005D33DD">
        <w:rPr>
          <w:rFonts w:asciiTheme="minorHAnsi" w:hAnsiTheme="minorHAnsi" w:cs="Times New Roman"/>
          <w:color w:val="002060"/>
        </w:rPr>
        <w:t>Education.</w:t>
      </w:r>
      <w:r w:rsidR="00B86F0C" w:rsidRPr="0082349F">
        <w:rPr>
          <w:rFonts w:asciiTheme="minorHAnsi" w:hAnsiTheme="minorHAnsi" w:cs="Times New Roman"/>
          <w:color w:val="002060"/>
        </w:rPr>
        <w:t xml:space="preserve">  </w:t>
      </w:r>
    </w:p>
    <w:p w14:paraId="211041B2" w14:textId="77777777" w:rsidR="007B6065" w:rsidRDefault="007B6065" w:rsidP="005E66A0">
      <w:pPr>
        <w:pStyle w:val="ListParagraph"/>
        <w:ind w:left="360"/>
        <w:jc w:val="both"/>
        <w:rPr>
          <w:rFonts w:ascii="Times New Roman" w:hAnsi="Times New Roman" w:cs="Times New Roman"/>
          <w:sz w:val="24"/>
          <w:szCs w:val="24"/>
        </w:rPr>
      </w:pPr>
    </w:p>
    <w:p w14:paraId="07B51AE4" w14:textId="77777777" w:rsidR="004A5E5D" w:rsidRDefault="00C35A4A" w:rsidP="004A5E5D">
      <w:pPr>
        <w:pStyle w:val="ListParagraph"/>
        <w:numPr>
          <w:ilvl w:val="0"/>
          <w:numId w:val="26"/>
        </w:numPr>
        <w:ind w:left="720"/>
        <w:jc w:val="both"/>
        <w:rPr>
          <w:rFonts w:asciiTheme="minorHAnsi" w:hAnsiTheme="minorHAnsi" w:cs="Times New Roman"/>
          <w:color w:val="002060"/>
        </w:rPr>
      </w:pPr>
      <w:r w:rsidRPr="00C35A4A">
        <w:rPr>
          <w:rFonts w:asciiTheme="minorHAnsi" w:hAnsiTheme="minorHAnsi" w:cs="Times New Roman"/>
          <w:color w:val="002060"/>
        </w:rPr>
        <w:t xml:space="preserve">Post-Secondary: </w:t>
      </w:r>
      <w:r w:rsidR="00543C5D">
        <w:rPr>
          <w:rFonts w:asciiTheme="minorHAnsi" w:hAnsiTheme="minorHAnsi" w:cs="Times New Roman"/>
          <w:color w:val="002060"/>
        </w:rPr>
        <w:t xml:space="preserve">The FY15 budget for Post-Secondary </w:t>
      </w:r>
      <w:r w:rsidR="00AB0700">
        <w:rPr>
          <w:rFonts w:asciiTheme="minorHAnsi" w:hAnsiTheme="minorHAnsi" w:cs="Times New Roman"/>
          <w:color w:val="002060"/>
        </w:rPr>
        <w:t>remained relatively constant from FY14, except for the following additions:</w:t>
      </w:r>
    </w:p>
    <w:p w14:paraId="49D54C68" w14:textId="77777777" w:rsidR="00254E53" w:rsidRDefault="00254E53" w:rsidP="00254E53">
      <w:pPr>
        <w:pStyle w:val="ListParagraph"/>
        <w:jc w:val="both"/>
        <w:rPr>
          <w:rFonts w:asciiTheme="minorHAnsi" w:hAnsiTheme="minorHAnsi" w:cs="Times New Roman"/>
          <w:color w:val="002060"/>
        </w:rPr>
      </w:pPr>
    </w:p>
    <w:p w14:paraId="16E118BC" w14:textId="77777777" w:rsidR="00AB0700" w:rsidRDefault="00AB0700" w:rsidP="00AB0700">
      <w:pPr>
        <w:pStyle w:val="ListParagraph"/>
        <w:numPr>
          <w:ilvl w:val="1"/>
          <w:numId w:val="26"/>
        </w:numPr>
        <w:ind w:left="1080"/>
        <w:jc w:val="both"/>
        <w:rPr>
          <w:rFonts w:asciiTheme="minorHAnsi" w:hAnsiTheme="minorHAnsi" w:cs="Times New Roman"/>
          <w:color w:val="002060"/>
        </w:rPr>
      </w:pPr>
      <w:r>
        <w:rPr>
          <w:rFonts w:asciiTheme="minorHAnsi" w:hAnsiTheme="minorHAnsi" w:cs="Times New Roman"/>
          <w:color w:val="002060"/>
        </w:rPr>
        <w:t xml:space="preserve">Increase of $10 million in </w:t>
      </w:r>
      <w:r w:rsidR="00EA395C">
        <w:rPr>
          <w:rFonts w:asciiTheme="minorHAnsi" w:hAnsiTheme="minorHAnsi" w:cs="Times New Roman"/>
          <w:color w:val="002060"/>
        </w:rPr>
        <w:t>federal DC TAG funding to align the budget with the President’s FY15 budget request</w:t>
      </w:r>
      <w:r w:rsidR="00326554">
        <w:rPr>
          <w:rFonts w:asciiTheme="minorHAnsi" w:hAnsiTheme="minorHAnsi" w:cs="Times New Roman"/>
          <w:color w:val="002060"/>
        </w:rPr>
        <w:t>.</w:t>
      </w:r>
    </w:p>
    <w:p w14:paraId="547EADCD" w14:textId="77777777" w:rsidR="00326554" w:rsidRDefault="00326554" w:rsidP="00AB0700">
      <w:pPr>
        <w:pStyle w:val="ListParagraph"/>
        <w:numPr>
          <w:ilvl w:val="1"/>
          <w:numId w:val="26"/>
        </w:numPr>
        <w:ind w:left="1080"/>
        <w:jc w:val="both"/>
        <w:rPr>
          <w:rFonts w:asciiTheme="minorHAnsi" w:hAnsiTheme="minorHAnsi" w:cs="Times New Roman"/>
          <w:color w:val="002060"/>
        </w:rPr>
      </w:pPr>
      <w:r>
        <w:rPr>
          <w:rFonts w:asciiTheme="minorHAnsi" w:hAnsiTheme="minorHAnsi" w:cs="Times New Roman"/>
          <w:color w:val="002060"/>
        </w:rPr>
        <w:t>Increase of $175,000 in local funding</w:t>
      </w:r>
      <w:r w:rsidR="0086518A">
        <w:rPr>
          <w:rFonts w:asciiTheme="minorHAnsi" w:hAnsiTheme="minorHAnsi" w:cs="Times New Roman"/>
          <w:color w:val="002060"/>
        </w:rPr>
        <w:t xml:space="preserve"> to allow all junior and senior District public school students to</w:t>
      </w:r>
      <w:r w:rsidR="00195617">
        <w:rPr>
          <w:rFonts w:asciiTheme="minorHAnsi" w:hAnsiTheme="minorHAnsi" w:cs="Times New Roman"/>
          <w:color w:val="002060"/>
        </w:rPr>
        <w:t xml:space="preserve"> continue to</w:t>
      </w:r>
      <w:r w:rsidR="0086518A">
        <w:rPr>
          <w:rFonts w:asciiTheme="minorHAnsi" w:hAnsiTheme="minorHAnsi" w:cs="Times New Roman"/>
          <w:color w:val="002060"/>
        </w:rPr>
        <w:t xml:space="preserve"> take the SAT for free.</w:t>
      </w:r>
    </w:p>
    <w:p w14:paraId="1ADE7295" w14:textId="77777777" w:rsidR="003E1146" w:rsidRDefault="003E1146" w:rsidP="004C2ADC">
      <w:pPr>
        <w:pStyle w:val="ListParagraph"/>
        <w:jc w:val="both"/>
        <w:rPr>
          <w:rFonts w:asciiTheme="minorHAnsi" w:hAnsiTheme="minorHAnsi" w:cs="Times New Roman"/>
          <w:color w:val="002060"/>
        </w:rPr>
      </w:pPr>
    </w:p>
    <w:p w14:paraId="784DE287" w14:textId="1B392837" w:rsidR="004C2ADC" w:rsidRDefault="004C2ADC" w:rsidP="004C2ADC">
      <w:pPr>
        <w:pStyle w:val="ListParagraph"/>
        <w:jc w:val="both"/>
        <w:rPr>
          <w:rFonts w:asciiTheme="minorHAnsi" w:hAnsiTheme="minorHAnsi" w:cs="Times New Roman"/>
          <w:color w:val="002060"/>
        </w:rPr>
      </w:pPr>
      <w:r>
        <w:rPr>
          <w:rFonts w:asciiTheme="minorHAnsi" w:hAnsiTheme="minorHAnsi" w:cs="Times New Roman"/>
          <w:color w:val="002060"/>
        </w:rPr>
        <w:t xml:space="preserve">For a description of Post-Secondary’s programs, please see </w:t>
      </w:r>
      <w:r w:rsidRPr="005B00D7">
        <w:rPr>
          <w:rFonts w:asciiTheme="minorHAnsi" w:hAnsiTheme="minorHAnsi" w:cs="Times New Roman"/>
          <w:color w:val="002060"/>
        </w:rPr>
        <w:t>A</w:t>
      </w:r>
      <w:r w:rsidR="005B00D7" w:rsidRPr="005B00D7">
        <w:rPr>
          <w:rFonts w:asciiTheme="minorHAnsi" w:hAnsiTheme="minorHAnsi" w:cs="Times New Roman"/>
          <w:color w:val="002060"/>
        </w:rPr>
        <w:t>ttachment 4</w:t>
      </w:r>
      <w:r w:rsidRPr="005B00D7">
        <w:rPr>
          <w:rFonts w:asciiTheme="minorHAnsi" w:hAnsiTheme="minorHAnsi" w:cs="Times New Roman"/>
          <w:color w:val="002060"/>
        </w:rPr>
        <w:t>.</w:t>
      </w:r>
    </w:p>
    <w:p w14:paraId="43D0A82C" w14:textId="77777777" w:rsidR="004C2ADC" w:rsidRDefault="004C2ADC" w:rsidP="004C2ADC">
      <w:pPr>
        <w:pStyle w:val="ListParagraph"/>
        <w:jc w:val="both"/>
        <w:rPr>
          <w:rFonts w:asciiTheme="minorHAnsi" w:hAnsiTheme="minorHAnsi" w:cs="Times New Roman"/>
          <w:color w:val="002060"/>
        </w:rPr>
      </w:pPr>
    </w:p>
    <w:p w14:paraId="62DE8130" w14:textId="33E9AF7A" w:rsidR="00962BBB" w:rsidRPr="00E00FDA" w:rsidRDefault="00694983" w:rsidP="00E00FDA">
      <w:pPr>
        <w:pStyle w:val="ListParagraph"/>
        <w:numPr>
          <w:ilvl w:val="0"/>
          <w:numId w:val="26"/>
        </w:numPr>
        <w:ind w:left="720"/>
        <w:jc w:val="both"/>
        <w:rPr>
          <w:color w:val="002060"/>
        </w:rPr>
      </w:pPr>
      <w:r w:rsidRPr="00821E28">
        <w:rPr>
          <w:rFonts w:asciiTheme="minorHAnsi" w:hAnsiTheme="minorHAnsi" w:cs="Times New Roman"/>
          <w:color w:val="002060"/>
        </w:rPr>
        <w:t>Adult and Career Education:</w:t>
      </w:r>
      <w:r w:rsidR="00E00FDA">
        <w:rPr>
          <w:rFonts w:asciiTheme="minorHAnsi" w:hAnsiTheme="minorHAnsi" w:cs="Times New Roman"/>
          <w:color w:val="002060"/>
        </w:rPr>
        <w:t xml:space="preserve"> </w:t>
      </w:r>
      <w:r w:rsidR="00962BBB" w:rsidRPr="00E00FDA">
        <w:rPr>
          <w:color w:val="002060"/>
        </w:rPr>
        <w:t>Spending plans and FTE allocations for AFE</w:t>
      </w:r>
      <w:r w:rsidR="00224EC4">
        <w:rPr>
          <w:color w:val="002060"/>
        </w:rPr>
        <w:t xml:space="preserve"> and CTE –Perkins are forthcoming.</w:t>
      </w:r>
    </w:p>
    <w:p w14:paraId="0D0EFE16" w14:textId="77777777" w:rsidR="0013769D" w:rsidRPr="00821E28" w:rsidRDefault="0013769D" w:rsidP="0013769D">
      <w:pPr>
        <w:pStyle w:val="ListParagraph"/>
        <w:jc w:val="both"/>
        <w:rPr>
          <w:color w:val="002060"/>
        </w:rPr>
      </w:pPr>
    </w:p>
    <w:p w14:paraId="133637D6" w14:textId="77777777" w:rsidR="00E00FDA" w:rsidRPr="000E43F3" w:rsidRDefault="00243A95" w:rsidP="000E43F3">
      <w:pPr>
        <w:pStyle w:val="ListParagraph"/>
        <w:numPr>
          <w:ilvl w:val="1"/>
          <w:numId w:val="26"/>
        </w:numPr>
        <w:ind w:left="1080"/>
        <w:jc w:val="both"/>
        <w:rPr>
          <w:rFonts w:asciiTheme="minorHAnsi" w:hAnsiTheme="minorHAnsi" w:cs="Times New Roman"/>
          <w:color w:val="002060"/>
        </w:rPr>
      </w:pPr>
      <w:r>
        <w:rPr>
          <w:rFonts w:asciiTheme="minorHAnsi" w:hAnsiTheme="minorHAnsi" w:cs="Times New Roman"/>
          <w:color w:val="002060"/>
        </w:rPr>
        <w:t xml:space="preserve">Adult and Family Education: </w:t>
      </w:r>
    </w:p>
    <w:p w14:paraId="2208B5CE" w14:textId="77777777" w:rsidR="00466659" w:rsidRPr="00F627B1" w:rsidRDefault="00243A95" w:rsidP="0015063D">
      <w:pPr>
        <w:pStyle w:val="ListParagraph"/>
        <w:numPr>
          <w:ilvl w:val="2"/>
          <w:numId w:val="26"/>
        </w:numPr>
        <w:ind w:left="1440"/>
        <w:jc w:val="both"/>
        <w:rPr>
          <w:color w:val="002060"/>
        </w:rPr>
      </w:pPr>
      <w:r w:rsidRPr="00F627B1">
        <w:rPr>
          <w:color w:val="002060"/>
        </w:rPr>
        <w:t>AFE funds sub-grantees to prov</w:t>
      </w:r>
      <w:r w:rsidR="009E2550" w:rsidRPr="00F627B1">
        <w:rPr>
          <w:color w:val="002060"/>
        </w:rPr>
        <w:t>ide Adult Basic Education (ABE);</w:t>
      </w:r>
      <w:r w:rsidRPr="00F627B1">
        <w:rPr>
          <w:color w:val="002060"/>
        </w:rPr>
        <w:t xml:space="preserve"> Adult Secondary Education (ASE)</w:t>
      </w:r>
      <w:r w:rsidR="00A706F6" w:rsidRPr="00F627B1">
        <w:rPr>
          <w:color w:val="002060"/>
        </w:rPr>
        <w:t xml:space="preserve">, </w:t>
      </w:r>
      <w:r w:rsidRPr="00F627B1">
        <w:rPr>
          <w:color w:val="002060"/>
        </w:rPr>
        <w:t xml:space="preserve">which includes General Education Development (GED) and the National </w:t>
      </w:r>
      <w:r w:rsidR="00A706F6" w:rsidRPr="00F627B1">
        <w:rPr>
          <w:color w:val="002060"/>
        </w:rPr>
        <w:t>External Diploma Program (NEDP); English as a Second Language;</w:t>
      </w:r>
      <w:r w:rsidRPr="00F627B1">
        <w:rPr>
          <w:color w:val="002060"/>
        </w:rPr>
        <w:t xml:space="preserve"> English Language Civics Education</w:t>
      </w:r>
      <w:r w:rsidR="00A706F6" w:rsidRPr="00F627B1">
        <w:rPr>
          <w:color w:val="002060"/>
        </w:rPr>
        <w:t>; Family Literacy; Occupational Literacy;</w:t>
      </w:r>
      <w:r w:rsidRPr="00F627B1">
        <w:rPr>
          <w:color w:val="002060"/>
        </w:rPr>
        <w:t xml:space="preserve"> Digital Literacy</w:t>
      </w:r>
      <w:r w:rsidR="00A706F6" w:rsidRPr="00F627B1">
        <w:rPr>
          <w:color w:val="002060"/>
        </w:rPr>
        <w:t>;</w:t>
      </w:r>
      <w:r w:rsidRPr="00F627B1">
        <w:rPr>
          <w:color w:val="002060"/>
        </w:rPr>
        <w:t xml:space="preserve"> and Postsecondary Education and Training services to District residents.  </w:t>
      </w:r>
    </w:p>
    <w:p w14:paraId="433367FE" w14:textId="77777777" w:rsidR="00B17CEE" w:rsidRPr="00F627B1" w:rsidRDefault="00243A95" w:rsidP="0015063D">
      <w:pPr>
        <w:pStyle w:val="ListParagraph"/>
        <w:numPr>
          <w:ilvl w:val="2"/>
          <w:numId w:val="26"/>
        </w:numPr>
        <w:ind w:left="1440"/>
        <w:jc w:val="both"/>
        <w:rPr>
          <w:color w:val="002060"/>
        </w:rPr>
      </w:pPr>
      <w:r w:rsidRPr="00F627B1">
        <w:rPr>
          <w:color w:val="002060"/>
        </w:rPr>
        <w:t>Accelerated Learning is a program geared toward helping reside</w:t>
      </w:r>
      <w:r w:rsidR="00466659" w:rsidRPr="00F627B1">
        <w:rPr>
          <w:color w:val="002060"/>
        </w:rPr>
        <w:t xml:space="preserve">nts who read at the eighth grade </w:t>
      </w:r>
      <w:r w:rsidRPr="00F627B1">
        <w:rPr>
          <w:color w:val="002060"/>
        </w:rPr>
        <w:t xml:space="preserve">or higher earn a high school diploma or equivalent and transition to postsecondary education. </w:t>
      </w:r>
      <w:r w:rsidR="00CA4C50" w:rsidRPr="00F627B1">
        <w:rPr>
          <w:color w:val="002060"/>
        </w:rPr>
        <w:t xml:space="preserve"> </w:t>
      </w:r>
      <w:r w:rsidRPr="00F627B1">
        <w:rPr>
          <w:color w:val="002060"/>
        </w:rPr>
        <w:t>AFE’s work with other agencies (DHS and DOES) is designed to support District residents</w:t>
      </w:r>
      <w:r w:rsidR="00B17CEE" w:rsidRPr="00F627B1">
        <w:rPr>
          <w:color w:val="002060"/>
        </w:rPr>
        <w:t>’</w:t>
      </w:r>
      <w:r w:rsidRPr="00F627B1">
        <w:rPr>
          <w:color w:val="002060"/>
        </w:rPr>
        <w:t xml:space="preserve"> literacy skills </w:t>
      </w:r>
      <w:r w:rsidR="002D3291" w:rsidRPr="00F627B1">
        <w:rPr>
          <w:color w:val="002060"/>
        </w:rPr>
        <w:t xml:space="preserve">in order </w:t>
      </w:r>
      <w:r w:rsidRPr="00F627B1">
        <w:rPr>
          <w:color w:val="002060"/>
        </w:rPr>
        <w:t xml:space="preserve">to enable them to enter job training programs. </w:t>
      </w:r>
    </w:p>
    <w:p w14:paraId="2629520B" w14:textId="2D8B2B92" w:rsidR="00111254" w:rsidRPr="00E229FF" w:rsidRDefault="009F4A67" w:rsidP="00E229FF">
      <w:pPr>
        <w:pStyle w:val="ListParagraph"/>
        <w:numPr>
          <w:ilvl w:val="2"/>
          <w:numId w:val="26"/>
        </w:numPr>
        <w:ind w:left="1440"/>
        <w:jc w:val="both"/>
        <w:rPr>
          <w:color w:val="002060"/>
        </w:rPr>
      </w:pPr>
      <w:r w:rsidRPr="00F627B1">
        <w:rPr>
          <w:color w:val="002060"/>
        </w:rPr>
        <w:t>To date for FY14, (July 1, 2013</w:t>
      </w:r>
      <w:r w:rsidR="00100A0C">
        <w:rPr>
          <w:rStyle w:val="FootnoteReference"/>
          <w:color w:val="002060"/>
        </w:rPr>
        <w:footnoteReference w:id="2"/>
      </w:r>
      <w:r w:rsidRPr="00F627B1">
        <w:rPr>
          <w:color w:val="002060"/>
        </w:rPr>
        <w:t xml:space="preserve"> to April 2, 2014), 3,431 adult learners have been served. This includes 2,693 adults who have engaged in 12 or more hours of instruction and 738 who have engaged in 1-11 hours of instruction.  Additionally, in FY13 (July 1, 2012-June 30, 2013), a total of 4,100 adult learners were served.  This includes 3,356 adults who engaged in 12 or more hours of instruction and 774 who engaged in 1-11 hours of instruction.  </w:t>
      </w:r>
      <w:r w:rsidR="00E229FF">
        <w:rPr>
          <w:color w:val="002060"/>
        </w:rPr>
        <w:t xml:space="preserve"> Also see </w:t>
      </w:r>
      <w:r w:rsidR="00FF121E">
        <w:rPr>
          <w:color w:val="002060"/>
        </w:rPr>
        <w:t>Attachment 5</w:t>
      </w:r>
      <w:r w:rsidR="00E229FF" w:rsidRPr="00F627B1">
        <w:rPr>
          <w:color w:val="002060"/>
        </w:rPr>
        <w:t xml:space="preserve">:  OSSE AFE FY 2014 Sub-grantees and Projected Number of Students to be served.   </w:t>
      </w:r>
    </w:p>
    <w:p w14:paraId="1A3D3083" w14:textId="77777777" w:rsidR="00111254" w:rsidRPr="00CF5A28" w:rsidRDefault="00111254" w:rsidP="00111254">
      <w:pPr>
        <w:pStyle w:val="ListParagraph"/>
        <w:numPr>
          <w:ilvl w:val="2"/>
          <w:numId w:val="26"/>
        </w:numPr>
        <w:ind w:left="1440"/>
        <w:jc w:val="both"/>
        <w:rPr>
          <w:color w:val="002060"/>
        </w:rPr>
      </w:pPr>
      <w:r w:rsidRPr="00CF5A28">
        <w:rPr>
          <w:color w:val="002060"/>
        </w:rPr>
        <w:t xml:space="preserve">The expected outcomes are as follows </w:t>
      </w:r>
      <w:r w:rsidR="00F9200A">
        <w:rPr>
          <w:color w:val="002060"/>
        </w:rPr>
        <w:t>(</w:t>
      </w:r>
      <w:r w:rsidRPr="00CF5A28">
        <w:rPr>
          <w:color w:val="002060"/>
        </w:rPr>
        <w:t>per the U.S. Department of Education performance targets</w:t>
      </w:r>
      <w:r w:rsidR="00F9200A">
        <w:rPr>
          <w:color w:val="002060"/>
        </w:rPr>
        <w:t>)</w:t>
      </w:r>
      <w:r w:rsidRPr="00CF5A28">
        <w:rPr>
          <w:color w:val="002060"/>
        </w:rPr>
        <w:t>:</w:t>
      </w:r>
    </w:p>
    <w:p w14:paraId="387AD421" w14:textId="77777777" w:rsidR="00AD1699" w:rsidRPr="00CF5A28" w:rsidRDefault="00111254" w:rsidP="00AD1699">
      <w:pPr>
        <w:pStyle w:val="ListParagraph"/>
        <w:numPr>
          <w:ilvl w:val="3"/>
          <w:numId w:val="26"/>
        </w:numPr>
        <w:ind w:left="1800"/>
        <w:jc w:val="both"/>
        <w:rPr>
          <w:color w:val="002060"/>
        </w:rPr>
      </w:pPr>
      <w:r w:rsidRPr="00CF5A28">
        <w:rPr>
          <w:rFonts w:asciiTheme="minorHAnsi" w:eastAsia="Times New Roman" w:hAnsiTheme="minorHAnsi" w:cstheme="minorHAnsi"/>
          <w:color w:val="002060"/>
        </w:rPr>
        <w:t>Demonstrated improveme</w:t>
      </w:r>
      <w:r w:rsidR="007E682F" w:rsidRPr="00CF5A28">
        <w:rPr>
          <w:rFonts w:asciiTheme="minorHAnsi" w:eastAsia="Times New Roman" w:hAnsiTheme="minorHAnsi" w:cstheme="minorHAnsi"/>
          <w:color w:val="002060"/>
        </w:rPr>
        <w:t>nts in l</w:t>
      </w:r>
      <w:r w:rsidR="00AD1699" w:rsidRPr="00CF5A28">
        <w:rPr>
          <w:rFonts w:asciiTheme="minorHAnsi" w:eastAsia="Times New Roman" w:hAnsiTheme="minorHAnsi" w:cstheme="minorHAnsi"/>
          <w:color w:val="002060"/>
        </w:rPr>
        <w:t>iteracy skill levels (i.e.</w:t>
      </w:r>
      <w:r w:rsidR="007E682F" w:rsidRPr="00CF5A28">
        <w:rPr>
          <w:rFonts w:asciiTheme="minorHAnsi" w:eastAsia="Times New Roman" w:hAnsiTheme="minorHAnsi" w:cstheme="minorHAnsi"/>
          <w:color w:val="002060"/>
        </w:rPr>
        <w:t xml:space="preserve"> </w:t>
      </w:r>
      <w:r w:rsidRPr="00CF5A28">
        <w:rPr>
          <w:rFonts w:asciiTheme="minorHAnsi" w:eastAsia="Times New Roman" w:hAnsiTheme="minorHAnsi" w:cstheme="minorHAnsi"/>
          <w:color w:val="002060"/>
        </w:rPr>
        <w:t>reading, writing, and speaking the English language</w:t>
      </w:r>
      <w:r w:rsidR="007E682F" w:rsidRPr="00CF5A28">
        <w:rPr>
          <w:rFonts w:asciiTheme="minorHAnsi" w:eastAsia="Times New Roman" w:hAnsiTheme="minorHAnsi" w:cstheme="minorHAnsi"/>
          <w:color w:val="002060"/>
        </w:rPr>
        <w:t>)</w:t>
      </w:r>
      <w:r w:rsidRPr="00CF5A28">
        <w:rPr>
          <w:rFonts w:asciiTheme="minorHAnsi" w:eastAsia="Times New Roman" w:hAnsiTheme="minorHAnsi" w:cstheme="minorHAnsi"/>
          <w:color w:val="002060"/>
        </w:rPr>
        <w:t>, numeracy problem-solving, English language acquisition, and other literacy skills, as evidenced by the percentage of adult learners at the ABE Beginning Literacy, ABE Beginning Low Intermediate, ABE High Intermediate and ASE Low literacy levels completing and/or advancing at least one educational functioning level/correlating grade level.  At least 30 percent of the students in each level should advance one educational functioning level or grade.</w:t>
      </w:r>
    </w:p>
    <w:p w14:paraId="5B28B4DA" w14:textId="77777777" w:rsidR="00AD1699" w:rsidRPr="00CF5A28" w:rsidRDefault="00111254" w:rsidP="00AD1699">
      <w:pPr>
        <w:pStyle w:val="ListParagraph"/>
        <w:numPr>
          <w:ilvl w:val="3"/>
          <w:numId w:val="26"/>
        </w:numPr>
        <w:ind w:left="1800"/>
        <w:jc w:val="both"/>
        <w:rPr>
          <w:color w:val="002060"/>
        </w:rPr>
      </w:pPr>
      <w:r w:rsidRPr="00CF5A28">
        <w:rPr>
          <w:rFonts w:asciiTheme="minorHAnsi" w:eastAsia="Times New Roman" w:hAnsiTheme="minorHAnsi" w:cstheme="minorHAnsi"/>
          <w:color w:val="002060"/>
        </w:rPr>
        <w:lastRenderedPageBreak/>
        <w:t xml:space="preserve">Demonstrated improvements in integrated English Literacy/Civics Education (EL Civics) as evidenced by 51 percent of adult learners at the ESL Beginning Literacy level, 62 percent of ESL Low Beginning level, and 50 percent ESL High Beginning level completing and/or advancing at least one educational functioning level/correlating grade level. </w:t>
      </w:r>
    </w:p>
    <w:p w14:paraId="43AEF83F" w14:textId="77777777" w:rsidR="00AD1699" w:rsidRPr="00CF5A28" w:rsidRDefault="00271131" w:rsidP="00AD1699">
      <w:pPr>
        <w:pStyle w:val="ListParagraph"/>
        <w:numPr>
          <w:ilvl w:val="3"/>
          <w:numId w:val="26"/>
        </w:numPr>
        <w:ind w:left="1800"/>
        <w:jc w:val="both"/>
        <w:rPr>
          <w:color w:val="002060"/>
        </w:rPr>
      </w:pPr>
      <w:r w:rsidRPr="00CF5A28">
        <w:rPr>
          <w:rFonts w:asciiTheme="minorHAnsi" w:eastAsia="Times New Roman" w:hAnsiTheme="minorHAnsi" w:cstheme="minorHAnsi"/>
          <w:color w:val="002060"/>
        </w:rPr>
        <w:t xml:space="preserve">Receipt of </w:t>
      </w:r>
      <w:r w:rsidR="00111254" w:rsidRPr="00CF5A28">
        <w:rPr>
          <w:rFonts w:asciiTheme="minorHAnsi" w:eastAsia="Times New Roman" w:hAnsiTheme="minorHAnsi" w:cstheme="minorHAnsi"/>
          <w:color w:val="002060"/>
        </w:rPr>
        <w:t>a secondary school diploma through a High School Diploma Program, the National External Diploma Program (NEDP) or General Education Development (GED)</w:t>
      </w:r>
      <w:r w:rsidR="00801393">
        <w:rPr>
          <w:rFonts w:asciiTheme="minorHAnsi" w:eastAsia="Times New Roman" w:hAnsiTheme="minorHAnsi" w:cstheme="minorHAnsi"/>
          <w:color w:val="002060"/>
        </w:rPr>
        <w:t>, as evidenced by 75 percent of adult learners earning</w:t>
      </w:r>
      <w:r w:rsidR="00111254" w:rsidRPr="00CF5A28">
        <w:rPr>
          <w:rFonts w:asciiTheme="minorHAnsi" w:eastAsia="Times New Roman" w:hAnsiTheme="minorHAnsi" w:cstheme="minorHAnsi"/>
          <w:color w:val="002060"/>
        </w:rPr>
        <w:t xml:space="preserve"> a high school diploma or GED.</w:t>
      </w:r>
      <w:r w:rsidRPr="00CF5A28">
        <w:rPr>
          <w:rFonts w:asciiTheme="minorHAnsi" w:eastAsia="Times New Roman" w:hAnsiTheme="minorHAnsi" w:cstheme="minorHAnsi"/>
          <w:color w:val="002060"/>
        </w:rPr>
        <w:t xml:space="preserve"> </w:t>
      </w:r>
      <w:r w:rsidR="00801393">
        <w:rPr>
          <w:rFonts w:asciiTheme="minorHAnsi" w:eastAsia="Times New Roman" w:hAnsiTheme="minorHAnsi" w:cstheme="minorHAnsi"/>
          <w:color w:val="002060"/>
        </w:rPr>
        <w:t xml:space="preserve"> </w:t>
      </w:r>
    </w:p>
    <w:p w14:paraId="2A7655B1" w14:textId="77777777" w:rsidR="002C53EB" w:rsidRPr="00AC2775" w:rsidRDefault="00111254" w:rsidP="00AC2775">
      <w:pPr>
        <w:pStyle w:val="ListParagraph"/>
        <w:numPr>
          <w:ilvl w:val="3"/>
          <w:numId w:val="26"/>
        </w:numPr>
        <w:ind w:left="1800"/>
        <w:jc w:val="both"/>
        <w:rPr>
          <w:color w:val="002060"/>
        </w:rPr>
      </w:pPr>
      <w:r w:rsidRPr="00CF5A28">
        <w:rPr>
          <w:rFonts w:asciiTheme="minorHAnsi" w:eastAsia="Times New Roman" w:hAnsiTheme="minorHAnsi" w:cstheme="minorHAnsi"/>
          <w:color w:val="002060"/>
        </w:rPr>
        <w:t xml:space="preserve">Placement in, retention in, or completion of, postsecondary education, training, unsubsidized, subsidized or supported employment, or career advancement, as evidenced by: a)  60 percent of adult learners  entering postsecondary education or training; b) 83 percent of adult learners not employed at program entry who enter unsubsidized employment </w:t>
      </w:r>
      <w:r w:rsidRPr="003F3C2D">
        <w:rPr>
          <w:rFonts w:asciiTheme="minorHAnsi" w:eastAsia="Times New Roman" w:hAnsiTheme="minorHAnsi" w:cstheme="minorHAnsi"/>
          <w:color w:val="002060"/>
        </w:rPr>
        <w:t>within 3-6 months</w:t>
      </w:r>
      <w:r w:rsidRPr="00CF5A28">
        <w:rPr>
          <w:rFonts w:asciiTheme="minorHAnsi" w:eastAsia="Times New Roman" w:hAnsiTheme="minorHAnsi" w:cstheme="minorHAnsi"/>
          <w:color w:val="002060"/>
        </w:rPr>
        <w:t xml:space="preserve"> after program exit and; c) 76 percent  of adult learners having retained unsubsidized employment 9-12 months after exit from the program.</w:t>
      </w:r>
    </w:p>
    <w:p w14:paraId="18C221BF" w14:textId="77777777" w:rsidR="00243A95" w:rsidRDefault="00BB1109" w:rsidP="00962BBB">
      <w:pPr>
        <w:pStyle w:val="ListParagraph"/>
        <w:numPr>
          <w:ilvl w:val="1"/>
          <w:numId w:val="26"/>
        </w:numPr>
        <w:ind w:left="1080"/>
        <w:jc w:val="both"/>
        <w:rPr>
          <w:rFonts w:asciiTheme="minorHAnsi" w:hAnsiTheme="minorHAnsi" w:cs="Times New Roman"/>
          <w:color w:val="002060"/>
        </w:rPr>
      </w:pPr>
      <w:r>
        <w:rPr>
          <w:rFonts w:asciiTheme="minorHAnsi" w:hAnsiTheme="minorHAnsi" w:cs="Times New Roman"/>
          <w:color w:val="002060"/>
        </w:rPr>
        <w:t>Career and Technical Education:</w:t>
      </w:r>
    </w:p>
    <w:p w14:paraId="6A9569EF" w14:textId="77777777" w:rsidR="00BB1109" w:rsidRPr="00BB1109" w:rsidRDefault="00BB1109" w:rsidP="00BB1109">
      <w:pPr>
        <w:pStyle w:val="ListParagraph"/>
        <w:numPr>
          <w:ilvl w:val="2"/>
          <w:numId w:val="26"/>
        </w:numPr>
        <w:ind w:left="1440"/>
        <w:jc w:val="both"/>
        <w:rPr>
          <w:rFonts w:asciiTheme="minorHAnsi" w:hAnsiTheme="minorHAnsi" w:cstheme="minorBidi"/>
          <w:color w:val="002060"/>
        </w:rPr>
      </w:pPr>
      <w:r w:rsidRPr="00BB1109">
        <w:rPr>
          <w:rFonts w:asciiTheme="minorHAnsi" w:hAnsiTheme="minorHAnsi" w:cstheme="minorBidi"/>
          <w:color w:val="002060"/>
        </w:rPr>
        <w:t xml:space="preserve">Career and Technical Education programs </w:t>
      </w:r>
      <w:r>
        <w:rPr>
          <w:rFonts w:asciiTheme="minorHAnsi" w:hAnsiTheme="minorHAnsi" w:cstheme="minorBidi"/>
          <w:color w:val="002060"/>
        </w:rPr>
        <w:t>in the District</w:t>
      </w:r>
      <w:r w:rsidRPr="00BB1109">
        <w:rPr>
          <w:rFonts w:asciiTheme="minorHAnsi" w:hAnsiTheme="minorHAnsi" w:cstheme="minorBidi"/>
          <w:color w:val="002060"/>
        </w:rPr>
        <w:t xml:space="preserve"> focus on preparing students for high wage, high demand, and high skilled career fields.</w:t>
      </w:r>
      <w:r>
        <w:rPr>
          <w:rFonts w:asciiTheme="minorHAnsi" w:hAnsiTheme="minorHAnsi" w:cstheme="minorBidi"/>
          <w:color w:val="002060"/>
        </w:rPr>
        <w:t xml:space="preserve"> </w:t>
      </w:r>
      <w:r w:rsidRPr="00BB1109">
        <w:rPr>
          <w:rFonts w:asciiTheme="minorHAnsi" w:hAnsiTheme="minorHAnsi" w:cstheme="minorBidi"/>
          <w:color w:val="002060"/>
        </w:rPr>
        <w:t xml:space="preserve"> Programs sponsored through OSSE’s Career and Technical Education unit are funded by the Carl D. Perkins Federal Grant. </w:t>
      </w:r>
      <w:r>
        <w:rPr>
          <w:rFonts w:asciiTheme="minorHAnsi" w:hAnsiTheme="minorHAnsi" w:cstheme="minorBidi"/>
          <w:color w:val="002060"/>
        </w:rPr>
        <w:t xml:space="preserve"> </w:t>
      </w:r>
      <w:r w:rsidRPr="00BB1109">
        <w:rPr>
          <w:rFonts w:asciiTheme="minorHAnsi" w:hAnsiTheme="minorHAnsi" w:cstheme="minorBidi"/>
          <w:color w:val="002060"/>
        </w:rPr>
        <w:t xml:space="preserve">This formula grant funds six LEAs, UDC-CC, and the D.C. Youth and Rehabilitative Services agency. </w:t>
      </w:r>
      <w:r>
        <w:rPr>
          <w:rFonts w:asciiTheme="minorHAnsi" w:hAnsiTheme="minorHAnsi" w:cstheme="minorBidi"/>
          <w:color w:val="002060"/>
        </w:rPr>
        <w:t xml:space="preserve"> </w:t>
      </w:r>
      <w:r w:rsidRPr="00BB1109">
        <w:rPr>
          <w:rFonts w:asciiTheme="minorHAnsi" w:hAnsiTheme="minorHAnsi" w:cstheme="minorBidi"/>
          <w:color w:val="002060"/>
        </w:rPr>
        <w:t xml:space="preserve">The LEAs include: DCPS, Friendship, Hospitality High, Maya Angelo. LAYC, and IDEA.  In addition, the grant funds salaries for the CTE director and four dedicated staff members. </w:t>
      </w:r>
    </w:p>
    <w:p w14:paraId="010DF5F5" w14:textId="77777777" w:rsidR="000E6955" w:rsidRPr="003633B4" w:rsidRDefault="00BB1109" w:rsidP="000E6955">
      <w:pPr>
        <w:pStyle w:val="ListParagraph"/>
        <w:numPr>
          <w:ilvl w:val="2"/>
          <w:numId w:val="26"/>
        </w:numPr>
        <w:ind w:left="1440"/>
        <w:jc w:val="both"/>
        <w:rPr>
          <w:rFonts w:asciiTheme="minorHAnsi" w:hAnsiTheme="minorHAnsi" w:cstheme="minorBidi"/>
          <w:color w:val="002060"/>
        </w:rPr>
      </w:pPr>
      <w:r w:rsidRPr="00BB1109">
        <w:rPr>
          <w:rFonts w:asciiTheme="minorHAnsi" w:hAnsiTheme="minorHAnsi" w:cstheme="minorBidi"/>
          <w:color w:val="002060"/>
        </w:rPr>
        <w:t>OSSE developed the CTE FY15 budget based upon federal regulatory guidance for the distribution of funds across Project Cost Accounts (PCAs).</w:t>
      </w:r>
      <w:r w:rsidR="004053D0">
        <w:rPr>
          <w:rFonts w:asciiTheme="minorHAnsi" w:hAnsiTheme="minorHAnsi" w:cstheme="minorBidi"/>
          <w:color w:val="002060"/>
        </w:rPr>
        <w:t xml:space="preserve"> </w:t>
      </w:r>
      <w:r w:rsidRPr="00BB1109">
        <w:rPr>
          <w:rFonts w:asciiTheme="minorHAnsi" w:hAnsiTheme="minorHAnsi" w:cstheme="minorBidi"/>
          <w:color w:val="002060"/>
        </w:rPr>
        <w:t xml:space="preserve"> The U.S. Department of Education’s Office of Career and Technical Adult Education provides annual reviews of Carl D. Perkins state budgets to ensure that states conform to federal guidelines as outlined in the Carl D. Perkins legislation and federal guidance. </w:t>
      </w:r>
      <w:r w:rsidR="004053D0">
        <w:rPr>
          <w:rFonts w:asciiTheme="minorHAnsi" w:hAnsiTheme="minorHAnsi" w:cstheme="minorBidi"/>
          <w:color w:val="002060"/>
        </w:rPr>
        <w:t xml:space="preserve"> </w:t>
      </w:r>
      <w:r w:rsidRPr="00BB1109">
        <w:rPr>
          <w:rFonts w:asciiTheme="minorHAnsi" w:hAnsiTheme="minorHAnsi" w:cstheme="minorBidi"/>
          <w:color w:val="002060"/>
        </w:rPr>
        <w:t xml:space="preserve">The outcome is a budget proposal that meets federal requirements for grant expenditures. </w:t>
      </w:r>
      <w:r w:rsidR="004053D0">
        <w:rPr>
          <w:rFonts w:asciiTheme="minorHAnsi" w:hAnsiTheme="minorHAnsi" w:cstheme="minorBidi"/>
          <w:color w:val="002060"/>
        </w:rPr>
        <w:t xml:space="preserve"> </w:t>
      </w:r>
      <w:r w:rsidRPr="00BB1109">
        <w:rPr>
          <w:rFonts w:asciiTheme="minorHAnsi" w:hAnsiTheme="minorHAnsi" w:cstheme="minorBidi"/>
          <w:color w:val="002060"/>
        </w:rPr>
        <w:t xml:space="preserve">The allowed </w:t>
      </w:r>
      <w:r w:rsidRPr="003633B4">
        <w:rPr>
          <w:rFonts w:asciiTheme="minorHAnsi" w:hAnsiTheme="minorHAnsi" w:cstheme="minorBidi"/>
          <w:color w:val="002060"/>
        </w:rPr>
        <w:t>expenditures include salaries, mandated administrative costs (i.e., professional development), and grants to programs. Not less than eighty-five percent of the funds must be granted to sub</w:t>
      </w:r>
      <w:r w:rsidR="004053D0" w:rsidRPr="003633B4">
        <w:rPr>
          <w:rFonts w:asciiTheme="minorHAnsi" w:hAnsiTheme="minorHAnsi" w:cstheme="minorBidi"/>
          <w:color w:val="002060"/>
        </w:rPr>
        <w:t>-</w:t>
      </w:r>
      <w:r w:rsidR="000E6955" w:rsidRPr="003633B4">
        <w:rPr>
          <w:rFonts w:asciiTheme="minorHAnsi" w:hAnsiTheme="minorHAnsi" w:cstheme="minorBidi"/>
          <w:color w:val="002060"/>
        </w:rPr>
        <w:t>recipients.</w:t>
      </w:r>
    </w:p>
    <w:p w14:paraId="0FA15C59" w14:textId="77777777" w:rsidR="000E6955" w:rsidRPr="003633B4" w:rsidRDefault="000E6955" w:rsidP="000E6955">
      <w:pPr>
        <w:pStyle w:val="ListParagraph"/>
        <w:numPr>
          <w:ilvl w:val="2"/>
          <w:numId w:val="26"/>
        </w:numPr>
        <w:ind w:left="1440"/>
        <w:jc w:val="both"/>
        <w:rPr>
          <w:rFonts w:asciiTheme="minorHAnsi" w:hAnsiTheme="minorHAnsi" w:cstheme="minorBidi"/>
          <w:color w:val="002060"/>
        </w:rPr>
      </w:pPr>
      <w:r w:rsidRPr="003633B4">
        <w:rPr>
          <w:rFonts w:asciiTheme="minorHAnsi" w:hAnsiTheme="minorHAnsi" w:cstheme="minorBidi"/>
          <w:color w:val="002060"/>
        </w:rPr>
        <w:t xml:space="preserve">CTE programs </w:t>
      </w:r>
      <w:r w:rsidR="00E03D06" w:rsidRPr="003633B4">
        <w:rPr>
          <w:rFonts w:asciiTheme="minorHAnsi" w:hAnsiTheme="minorHAnsi" w:cstheme="minorBidi"/>
          <w:color w:val="002060"/>
        </w:rPr>
        <w:t>in the District</w:t>
      </w:r>
      <w:r w:rsidRPr="003633B4">
        <w:rPr>
          <w:rFonts w:asciiTheme="minorHAnsi" w:hAnsiTheme="minorHAnsi" w:cstheme="minorBidi"/>
          <w:color w:val="002060"/>
        </w:rPr>
        <w:t xml:space="preserve"> offer a sequence of courses that are non-duplicative and include academic and CTE industry specific content</w:t>
      </w:r>
      <w:r w:rsidR="00E03D06" w:rsidRPr="003633B4">
        <w:rPr>
          <w:rFonts w:asciiTheme="minorHAnsi" w:hAnsiTheme="minorHAnsi" w:cstheme="minorBidi"/>
          <w:color w:val="002060"/>
        </w:rPr>
        <w:t>,</w:t>
      </w:r>
      <w:r w:rsidRPr="003633B4">
        <w:rPr>
          <w:rFonts w:asciiTheme="minorHAnsi" w:hAnsiTheme="minorHAnsi" w:cstheme="minorBidi"/>
          <w:color w:val="002060"/>
        </w:rPr>
        <w:t xml:space="preserve"> as well as additional work-based experiences that prepare students for college and careers. </w:t>
      </w:r>
      <w:r w:rsidR="00E03D06" w:rsidRPr="003633B4">
        <w:rPr>
          <w:rFonts w:asciiTheme="minorHAnsi" w:hAnsiTheme="minorHAnsi" w:cstheme="minorBidi"/>
          <w:color w:val="002060"/>
        </w:rPr>
        <w:t xml:space="preserve"> The Perkins funds support programs of s</w:t>
      </w:r>
      <w:r w:rsidRPr="003633B4">
        <w:rPr>
          <w:rFonts w:asciiTheme="minorHAnsi" w:hAnsiTheme="minorHAnsi" w:cstheme="minorBidi"/>
          <w:color w:val="002060"/>
        </w:rPr>
        <w:t>tudy in the following priority career clusters:  Hospitality and Tourism; Finance; Architecture &amp; Cons</w:t>
      </w:r>
      <w:r w:rsidR="00977AAD" w:rsidRPr="003633B4">
        <w:rPr>
          <w:rFonts w:asciiTheme="minorHAnsi" w:hAnsiTheme="minorHAnsi" w:cstheme="minorBidi"/>
          <w:color w:val="002060"/>
        </w:rPr>
        <w:t xml:space="preserve">truction; Business Management &amp; </w:t>
      </w:r>
      <w:r w:rsidRPr="003633B4">
        <w:rPr>
          <w:rFonts w:asciiTheme="minorHAnsi" w:hAnsiTheme="minorHAnsi" w:cstheme="minorBidi"/>
          <w:color w:val="002060"/>
        </w:rPr>
        <w:t>Administration; Transportation, Distribution &amp; Logistics; Arts, AV Technology &amp; Communications; Health Science; Marketing; Information T</w:t>
      </w:r>
      <w:r w:rsidR="00977AAD" w:rsidRPr="003633B4">
        <w:rPr>
          <w:rFonts w:asciiTheme="minorHAnsi" w:hAnsiTheme="minorHAnsi" w:cstheme="minorBidi"/>
          <w:color w:val="002060"/>
        </w:rPr>
        <w:t>echnology; Education &amp; Training;</w:t>
      </w:r>
      <w:r w:rsidRPr="003633B4">
        <w:rPr>
          <w:rFonts w:asciiTheme="minorHAnsi" w:hAnsiTheme="minorHAnsi" w:cstheme="minorBidi"/>
          <w:color w:val="002060"/>
        </w:rPr>
        <w:t xml:space="preserve"> Law</w:t>
      </w:r>
      <w:r w:rsidR="00977AAD" w:rsidRPr="003633B4">
        <w:rPr>
          <w:rFonts w:asciiTheme="minorHAnsi" w:hAnsiTheme="minorHAnsi" w:cstheme="minorBidi"/>
          <w:color w:val="002060"/>
        </w:rPr>
        <w:t>,</w:t>
      </w:r>
      <w:r w:rsidRPr="003633B4">
        <w:rPr>
          <w:rFonts w:asciiTheme="minorHAnsi" w:hAnsiTheme="minorHAnsi" w:cstheme="minorBidi"/>
          <w:color w:val="002060"/>
        </w:rPr>
        <w:t xml:space="preserve"> Public Safety, Corrections, and</w:t>
      </w:r>
      <w:r w:rsidR="00977AAD" w:rsidRPr="003633B4">
        <w:rPr>
          <w:rFonts w:asciiTheme="minorHAnsi" w:hAnsiTheme="minorHAnsi" w:cstheme="minorBidi"/>
          <w:color w:val="002060"/>
        </w:rPr>
        <w:t xml:space="preserve"> Human Services; and STEM</w:t>
      </w:r>
      <w:r w:rsidRPr="003633B4">
        <w:rPr>
          <w:rFonts w:asciiTheme="minorHAnsi" w:hAnsiTheme="minorHAnsi" w:cstheme="minorBidi"/>
          <w:color w:val="002060"/>
        </w:rPr>
        <w:t xml:space="preserve">. </w:t>
      </w:r>
      <w:r w:rsidR="00DB0E5A" w:rsidRPr="003633B4">
        <w:rPr>
          <w:rFonts w:asciiTheme="minorHAnsi" w:hAnsiTheme="minorHAnsi" w:cstheme="minorBidi"/>
          <w:color w:val="002060"/>
        </w:rPr>
        <w:t xml:space="preserve"> </w:t>
      </w:r>
      <w:r w:rsidRPr="003633B4">
        <w:rPr>
          <w:rFonts w:asciiTheme="minorHAnsi" w:hAnsiTheme="minorHAnsi" w:cstheme="minorBidi"/>
          <w:color w:val="002060"/>
        </w:rPr>
        <w:t xml:space="preserve">These career clusters are outlined in the CTE Strategic Plan and are based on Bureau of Labor statistics related to high wage, high demand occupations in the District of Columbia. </w:t>
      </w:r>
      <w:r w:rsidR="00DB0E5A" w:rsidRPr="003633B4">
        <w:rPr>
          <w:rFonts w:asciiTheme="minorHAnsi" w:hAnsiTheme="minorHAnsi" w:cstheme="minorBidi"/>
          <w:color w:val="002060"/>
        </w:rPr>
        <w:t xml:space="preserve"> </w:t>
      </w:r>
      <w:r w:rsidRPr="003633B4">
        <w:rPr>
          <w:rFonts w:asciiTheme="minorHAnsi" w:hAnsiTheme="minorHAnsi" w:cstheme="minorBidi"/>
          <w:color w:val="002060"/>
        </w:rPr>
        <w:t>Sub</w:t>
      </w:r>
      <w:r w:rsidR="00DB0E5A" w:rsidRPr="003633B4">
        <w:rPr>
          <w:rFonts w:asciiTheme="minorHAnsi" w:hAnsiTheme="minorHAnsi" w:cstheme="minorBidi"/>
          <w:color w:val="002060"/>
        </w:rPr>
        <w:t>-</w:t>
      </w:r>
      <w:r w:rsidRPr="003633B4">
        <w:rPr>
          <w:rFonts w:asciiTheme="minorHAnsi" w:hAnsiTheme="minorHAnsi" w:cstheme="minorBidi"/>
          <w:color w:val="002060"/>
        </w:rPr>
        <w:t xml:space="preserve">grantees use the funds to support teachers/faculty salaries, administrative staff, professional development, books and equipment, student activities and events, and computers and software. </w:t>
      </w:r>
    </w:p>
    <w:p w14:paraId="3C60797B" w14:textId="77777777" w:rsidR="00050C2E" w:rsidRPr="003633B4" w:rsidRDefault="000E6955" w:rsidP="00502C32">
      <w:pPr>
        <w:pStyle w:val="ListParagraph"/>
        <w:numPr>
          <w:ilvl w:val="2"/>
          <w:numId w:val="26"/>
        </w:numPr>
        <w:ind w:left="1440"/>
        <w:jc w:val="both"/>
        <w:rPr>
          <w:rFonts w:asciiTheme="minorHAnsi" w:hAnsiTheme="minorHAnsi" w:cstheme="minorBidi"/>
          <w:color w:val="002060"/>
        </w:rPr>
      </w:pPr>
      <w:r w:rsidRPr="003633B4">
        <w:rPr>
          <w:rFonts w:asciiTheme="minorHAnsi" w:hAnsiTheme="minorHAnsi" w:cstheme="minorBidi"/>
          <w:color w:val="002060"/>
        </w:rPr>
        <w:t>Of the 17,663 students enrolled in District of Columbia high schools during 2012-2013, 4,274 (24%) participated in CTE programs; UDC-CC enrolled 1,267 students in CTE programs in 2012-2013; and 13 high schools offered</w:t>
      </w:r>
      <w:r w:rsidR="00F210ED" w:rsidRPr="003633B4">
        <w:rPr>
          <w:rFonts w:asciiTheme="minorHAnsi" w:hAnsiTheme="minorHAnsi" w:cstheme="minorBidi"/>
          <w:color w:val="002060"/>
        </w:rPr>
        <w:t xml:space="preserve"> CTE programs of s</w:t>
      </w:r>
      <w:r w:rsidRPr="003633B4">
        <w:rPr>
          <w:rFonts w:asciiTheme="minorHAnsi" w:hAnsiTheme="minorHAnsi" w:cstheme="minorBidi"/>
          <w:color w:val="002060"/>
        </w:rPr>
        <w:t>tudy.</w:t>
      </w:r>
    </w:p>
    <w:p w14:paraId="5C213D09" w14:textId="77777777" w:rsidR="000E6955" w:rsidRPr="003633B4" w:rsidRDefault="000E6955" w:rsidP="00502C32">
      <w:pPr>
        <w:pStyle w:val="ListParagraph"/>
        <w:numPr>
          <w:ilvl w:val="2"/>
          <w:numId w:val="26"/>
        </w:numPr>
        <w:ind w:left="1440"/>
        <w:jc w:val="both"/>
        <w:rPr>
          <w:rFonts w:asciiTheme="minorHAnsi" w:hAnsiTheme="minorHAnsi" w:cstheme="minorBidi"/>
          <w:color w:val="002060"/>
        </w:rPr>
      </w:pPr>
      <w:r w:rsidRPr="003633B4">
        <w:rPr>
          <w:rFonts w:asciiTheme="minorHAnsi" w:hAnsiTheme="minorHAnsi" w:cstheme="minorBidi"/>
          <w:color w:val="002060"/>
        </w:rPr>
        <w:lastRenderedPageBreak/>
        <w:t xml:space="preserve">CTE outcomes are related primarily to the numbers of students who complete programs of study, earn a diploma and/or certificate, and transition to postsecondary education or the workforce. </w:t>
      </w:r>
      <w:r w:rsidR="00E876FD">
        <w:rPr>
          <w:rFonts w:asciiTheme="minorHAnsi" w:hAnsiTheme="minorHAnsi" w:cstheme="minorBidi"/>
          <w:color w:val="002060"/>
        </w:rPr>
        <w:t xml:space="preserve"> </w:t>
      </w:r>
      <w:r w:rsidRPr="003633B4">
        <w:rPr>
          <w:rFonts w:asciiTheme="minorHAnsi" w:hAnsiTheme="minorHAnsi" w:cstheme="minorBidi"/>
          <w:color w:val="002060"/>
        </w:rPr>
        <w:t>The following statistics represent some of these outcomes:</w:t>
      </w:r>
    </w:p>
    <w:p w14:paraId="022F603C" w14:textId="77777777" w:rsidR="00050C2E" w:rsidRPr="003633B4" w:rsidRDefault="00502C32" w:rsidP="00502C32">
      <w:pPr>
        <w:numPr>
          <w:ilvl w:val="3"/>
          <w:numId w:val="26"/>
        </w:numPr>
        <w:ind w:left="1800"/>
        <w:contextualSpacing/>
        <w:jc w:val="both"/>
        <w:rPr>
          <w:rFonts w:asciiTheme="minorHAnsi" w:hAnsiTheme="minorHAnsi" w:cstheme="minorBidi"/>
          <w:color w:val="002060"/>
        </w:rPr>
      </w:pPr>
      <w:r w:rsidRPr="003633B4">
        <w:rPr>
          <w:rFonts w:asciiTheme="minorHAnsi" w:hAnsiTheme="minorHAnsi" w:cstheme="minorBidi"/>
          <w:color w:val="002060"/>
        </w:rPr>
        <w:t>76.64%</w:t>
      </w:r>
      <w:r w:rsidR="000E6955" w:rsidRPr="003633B4">
        <w:rPr>
          <w:rFonts w:asciiTheme="minorHAnsi" w:hAnsiTheme="minorHAnsi" w:cstheme="minorBidi"/>
          <w:color w:val="002060"/>
        </w:rPr>
        <w:t xml:space="preserve"> of senior concentrators identified from FY2011-2012 were enrolled in college or secured employment within two quarters after high school</w:t>
      </w:r>
      <w:r w:rsidRPr="003633B4">
        <w:rPr>
          <w:rFonts w:asciiTheme="minorHAnsi" w:hAnsiTheme="minorHAnsi" w:cstheme="minorBidi"/>
          <w:color w:val="002060"/>
        </w:rPr>
        <w:t>.</w:t>
      </w:r>
    </w:p>
    <w:p w14:paraId="6E8B88BA" w14:textId="77777777" w:rsidR="00050C2E" w:rsidRPr="003633B4" w:rsidRDefault="00502C32" w:rsidP="00502C32">
      <w:pPr>
        <w:numPr>
          <w:ilvl w:val="3"/>
          <w:numId w:val="26"/>
        </w:numPr>
        <w:ind w:left="1800"/>
        <w:contextualSpacing/>
        <w:jc w:val="both"/>
        <w:rPr>
          <w:rFonts w:asciiTheme="minorHAnsi" w:hAnsiTheme="minorHAnsi" w:cstheme="minorBidi"/>
          <w:color w:val="002060"/>
        </w:rPr>
      </w:pPr>
      <w:r w:rsidRPr="003633B4">
        <w:rPr>
          <w:rFonts w:asciiTheme="minorHAnsi" w:hAnsiTheme="minorHAnsi" w:cstheme="minorBidi"/>
          <w:color w:val="002060"/>
        </w:rPr>
        <w:t xml:space="preserve">300 </w:t>
      </w:r>
      <w:r w:rsidR="000E6955" w:rsidRPr="003633B4">
        <w:rPr>
          <w:rFonts w:asciiTheme="minorHAnsi" w:hAnsiTheme="minorHAnsi" w:cstheme="minorBidi"/>
          <w:color w:val="002060"/>
        </w:rPr>
        <w:t>District students and teachers earned Microsoft certifications during the 2012-2013 academic year</w:t>
      </w:r>
      <w:r w:rsidRPr="003633B4">
        <w:rPr>
          <w:rFonts w:asciiTheme="minorHAnsi" w:hAnsiTheme="minorHAnsi" w:cstheme="minorBidi"/>
          <w:color w:val="002060"/>
        </w:rPr>
        <w:t>.</w:t>
      </w:r>
    </w:p>
    <w:p w14:paraId="7A094AD8" w14:textId="77777777" w:rsidR="000E6955" w:rsidRPr="003633B4" w:rsidRDefault="000E6955" w:rsidP="00502C32">
      <w:pPr>
        <w:numPr>
          <w:ilvl w:val="3"/>
          <w:numId w:val="26"/>
        </w:numPr>
        <w:ind w:left="1800"/>
        <w:contextualSpacing/>
        <w:jc w:val="both"/>
        <w:rPr>
          <w:rFonts w:asciiTheme="minorHAnsi" w:hAnsiTheme="minorHAnsi" w:cstheme="minorBidi"/>
          <w:color w:val="002060"/>
        </w:rPr>
      </w:pPr>
      <w:r w:rsidRPr="003633B4">
        <w:rPr>
          <w:rFonts w:asciiTheme="minorHAnsi" w:hAnsiTheme="minorHAnsi" w:cstheme="minorBidi"/>
          <w:color w:val="002060"/>
        </w:rPr>
        <w:t>89.17% of CTE seniors received their diplomas compared to the District completion rate of 87 percent</w:t>
      </w:r>
      <w:r w:rsidR="00502C32" w:rsidRPr="003633B4">
        <w:rPr>
          <w:rFonts w:asciiTheme="minorHAnsi" w:hAnsiTheme="minorHAnsi" w:cstheme="minorBidi"/>
          <w:color w:val="002060"/>
        </w:rPr>
        <w:t>.</w:t>
      </w:r>
    </w:p>
    <w:p w14:paraId="51893A60" w14:textId="77777777" w:rsidR="00BB1109" w:rsidRPr="00A11572" w:rsidRDefault="00BB1109" w:rsidP="00A11572">
      <w:pPr>
        <w:jc w:val="both"/>
        <w:rPr>
          <w:rFonts w:asciiTheme="minorHAnsi" w:hAnsiTheme="minorHAnsi" w:cs="Times New Roman"/>
          <w:color w:val="002060"/>
        </w:rPr>
      </w:pPr>
    </w:p>
    <w:p w14:paraId="18916319" w14:textId="77777777" w:rsidR="004464EE" w:rsidRDefault="004464EE" w:rsidP="005E66A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Please provide a narrative explanation of how OSSE developed the proposed FY15 budget for Special Education, including spending plans and the FTE allocation for each activity including; Training and Technical Assistance; the IDEA Part C Early Intervention Program; Grants Management; and Monitoring and Compliance. Additionally please detail the amount OSSE budgeted to increase special education least restrictive environment (LRE) capacity in the District. </w:t>
      </w:r>
    </w:p>
    <w:p w14:paraId="1C9370FA" w14:textId="77777777" w:rsidR="00744BFA" w:rsidRPr="0082349F" w:rsidRDefault="00744BFA" w:rsidP="00C105BC">
      <w:pPr>
        <w:jc w:val="both"/>
        <w:rPr>
          <w:rFonts w:asciiTheme="minorHAnsi" w:hAnsiTheme="minorHAnsi" w:cs="Times New Roman"/>
          <w:color w:val="002060"/>
        </w:rPr>
      </w:pPr>
    </w:p>
    <w:p w14:paraId="5F61F7D1" w14:textId="77777777" w:rsidR="00744BFA" w:rsidRPr="0082349F" w:rsidRDefault="002779E7" w:rsidP="00335BE1">
      <w:pPr>
        <w:ind w:left="360"/>
        <w:jc w:val="both"/>
        <w:rPr>
          <w:rFonts w:asciiTheme="minorHAnsi" w:hAnsiTheme="minorHAnsi" w:cs="Times New Roman"/>
          <w:color w:val="002060"/>
        </w:rPr>
      </w:pPr>
      <w:r w:rsidRPr="0082349F">
        <w:rPr>
          <w:rFonts w:asciiTheme="minorHAnsi" w:hAnsiTheme="minorHAnsi" w:cs="Times New Roman"/>
          <w:color w:val="002060"/>
        </w:rPr>
        <w:t>DSE planned</w:t>
      </w:r>
      <w:r w:rsidR="00AE121E" w:rsidRPr="0082349F">
        <w:rPr>
          <w:rFonts w:asciiTheme="minorHAnsi" w:hAnsiTheme="minorHAnsi" w:cs="Times New Roman"/>
          <w:color w:val="002060"/>
        </w:rPr>
        <w:t xml:space="preserve"> its</w:t>
      </w:r>
      <w:r w:rsidR="00744BFA" w:rsidRPr="0082349F">
        <w:rPr>
          <w:rFonts w:asciiTheme="minorHAnsi" w:hAnsiTheme="minorHAnsi" w:cs="Times New Roman"/>
          <w:color w:val="002060"/>
        </w:rPr>
        <w:t xml:space="preserve"> proposed FY15 budget by first estimating the amount of IDEA Part B 611 </w:t>
      </w:r>
      <w:r w:rsidR="00542328">
        <w:rPr>
          <w:rFonts w:asciiTheme="minorHAnsi" w:hAnsiTheme="minorHAnsi" w:cs="Times New Roman"/>
          <w:color w:val="002060"/>
        </w:rPr>
        <w:t>and 619 grant funds, based on F</w:t>
      </w:r>
      <w:r w:rsidR="00744BFA" w:rsidRPr="0082349F">
        <w:rPr>
          <w:rFonts w:asciiTheme="minorHAnsi" w:hAnsiTheme="minorHAnsi" w:cs="Times New Roman"/>
          <w:color w:val="002060"/>
        </w:rPr>
        <w:t xml:space="preserve">Y 13 funding levels, which would be available to the SEA </w:t>
      </w:r>
      <w:r w:rsidR="00765DFD" w:rsidRPr="0082349F">
        <w:rPr>
          <w:rFonts w:asciiTheme="minorHAnsi" w:hAnsiTheme="minorHAnsi" w:cs="Times New Roman"/>
          <w:color w:val="002060"/>
        </w:rPr>
        <w:t>after allocation</w:t>
      </w:r>
      <w:r w:rsidR="00744BFA" w:rsidRPr="0082349F">
        <w:rPr>
          <w:rFonts w:asciiTheme="minorHAnsi" w:hAnsiTheme="minorHAnsi" w:cs="Times New Roman"/>
          <w:color w:val="002060"/>
        </w:rPr>
        <w:t xml:space="preserve"> to LEAs.  Additionally, DSE determined the amount of local funds that would be needed to support </w:t>
      </w:r>
      <w:r w:rsidR="00644C61" w:rsidRPr="0082349F">
        <w:rPr>
          <w:rFonts w:asciiTheme="minorHAnsi" w:hAnsiTheme="minorHAnsi" w:cs="Times New Roman"/>
          <w:color w:val="002060"/>
        </w:rPr>
        <w:t>intra-</w:t>
      </w:r>
      <w:r w:rsidR="00744BFA" w:rsidRPr="0082349F">
        <w:rPr>
          <w:rFonts w:asciiTheme="minorHAnsi" w:hAnsiTheme="minorHAnsi" w:cs="Times New Roman"/>
          <w:color w:val="002060"/>
        </w:rPr>
        <w:t xml:space="preserve">District agreements with </w:t>
      </w:r>
      <w:r w:rsidR="00D64EF7" w:rsidRPr="0082349F">
        <w:rPr>
          <w:rFonts w:asciiTheme="minorHAnsi" w:hAnsiTheme="minorHAnsi" w:cs="Times New Roman"/>
          <w:color w:val="002060"/>
        </w:rPr>
        <w:t>other District</w:t>
      </w:r>
      <w:r w:rsidR="00744BFA" w:rsidRPr="0082349F">
        <w:rPr>
          <w:rFonts w:asciiTheme="minorHAnsi" w:hAnsiTheme="minorHAnsi" w:cs="Times New Roman"/>
          <w:color w:val="002060"/>
        </w:rPr>
        <w:t xml:space="preserve"> agencies pursuant to the </w:t>
      </w:r>
      <w:r w:rsidR="00644C61" w:rsidRPr="0082349F">
        <w:rPr>
          <w:rFonts w:asciiTheme="minorHAnsi" w:hAnsiTheme="minorHAnsi" w:cs="Times New Roman"/>
          <w:color w:val="002060"/>
        </w:rPr>
        <w:t xml:space="preserve">Blackman </w:t>
      </w:r>
      <w:r w:rsidR="00744BFA" w:rsidRPr="0082349F">
        <w:rPr>
          <w:rFonts w:asciiTheme="minorHAnsi" w:hAnsiTheme="minorHAnsi" w:cs="Times New Roman"/>
          <w:color w:val="002060"/>
        </w:rPr>
        <w:t xml:space="preserve">Jones Consent Decree.  </w:t>
      </w:r>
    </w:p>
    <w:p w14:paraId="4C6CF454" w14:textId="77777777" w:rsidR="00744BFA" w:rsidRPr="0082349F" w:rsidRDefault="00744BFA" w:rsidP="00335BE1">
      <w:pPr>
        <w:ind w:left="360"/>
        <w:jc w:val="both"/>
        <w:rPr>
          <w:rFonts w:asciiTheme="minorHAnsi" w:hAnsiTheme="minorHAnsi" w:cs="Times New Roman"/>
          <w:color w:val="002060"/>
        </w:rPr>
      </w:pPr>
    </w:p>
    <w:p w14:paraId="0AE60778" w14:textId="77777777" w:rsidR="00744BFA" w:rsidRPr="0082349F" w:rsidRDefault="00C105BC" w:rsidP="00335BE1">
      <w:pPr>
        <w:ind w:left="360"/>
        <w:jc w:val="both"/>
        <w:rPr>
          <w:rFonts w:asciiTheme="minorHAnsi" w:hAnsiTheme="minorHAnsi" w:cs="Times New Roman"/>
          <w:color w:val="002060"/>
        </w:rPr>
      </w:pPr>
      <w:r>
        <w:rPr>
          <w:rFonts w:asciiTheme="minorHAnsi" w:hAnsiTheme="minorHAnsi" w:cs="Times New Roman"/>
          <w:color w:val="002060"/>
        </w:rPr>
        <w:t>T</w:t>
      </w:r>
      <w:r w:rsidR="00826622" w:rsidRPr="0082349F">
        <w:rPr>
          <w:rFonts w:asciiTheme="minorHAnsi" w:hAnsiTheme="minorHAnsi" w:cs="Times New Roman"/>
          <w:color w:val="002060"/>
        </w:rPr>
        <w:t>he FY</w:t>
      </w:r>
      <w:r w:rsidR="00744BFA" w:rsidRPr="0082349F">
        <w:rPr>
          <w:rFonts w:asciiTheme="minorHAnsi" w:hAnsiTheme="minorHAnsi" w:cs="Times New Roman"/>
          <w:color w:val="002060"/>
        </w:rPr>
        <w:t>15 spending plan developed by DSE aligns with the following compliance requirements of the IDEA, including the USDE Office of Special Education Programs (OSEP) special conditions and the Blackman Jones Consent Decree:</w:t>
      </w:r>
    </w:p>
    <w:p w14:paraId="35B94EFA" w14:textId="77777777" w:rsidR="00744BFA" w:rsidRPr="0082349F" w:rsidRDefault="00744BFA" w:rsidP="00335BE1">
      <w:pPr>
        <w:ind w:left="360"/>
        <w:jc w:val="both"/>
        <w:rPr>
          <w:rFonts w:asciiTheme="minorHAnsi" w:hAnsiTheme="minorHAnsi" w:cs="Times New Roman"/>
          <w:color w:val="002060"/>
        </w:rPr>
      </w:pPr>
    </w:p>
    <w:p w14:paraId="21179222" w14:textId="77777777" w:rsidR="00744BFA" w:rsidRPr="0082349F" w:rsidRDefault="00744BFA" w:rsidP="00335BE1">
      <w:pPr>
        <w:pStyle w:val="ListParagraph"/>
        <w:widowControl w:val="0"/>
        <w:numPr>
          <w:ilvl w:val="0"/>
          <w:numId w:val="11"/>
        </w:numPr>
        <w:spacing w:after="100"/>
        <w:jc w:val="both"/>
        <w:rPr>
          <w:rFonts w:asciiTheme="minorHAnsi" w:hAnsiTheme="minorHAnsi" w:cs="Times New Roman"/>
          <w:color w:val="002060"/>
        </w:rPr>
      </w:pPr>
      <w:r w:rsidRPr="0082349F">
        <w:rPr>
          <w:rFonts w:asciiTheme="minorHAnsi" w:hAnsiTheme="minorHAnsi" w:cs="Times New Roman"/>
          <w:color w:val="002060"/>
        </w:rPr>
        <w:t>Ensure initial evaluation and reevaluation timeliness</w:t>
      </w:r>
      <w:r w:rsidR="00711E62" w:rsidRPr="0082349F">
        <w:rPr>
          <w:rFonts w:asciiTheme="minorHAnsi" w:hAnsiTheme="minorHAnsi" w:cs="Times New Roman"/>
          <w:color w:val="002060"/>
        </w:rPr>
        <w:t>;</w:t>
      </w:r>
    </w:p>
    <w:p w14:paraId="204DD681" w14:textId="77777777" w:rsidR="00744BFA" w:rsidRPr="0082349F" w:rsidRDefault="00744BFA" w:rsidP="00335BE1">
      <w:pPr>
        <w:pStyle w:val="ListParagraph"/>
        <w:widowControl w:val="0"/>
        <w:numPr>
          <w:ilvl w:val="0"/>
          <w:numId w:val="11"/>
        </w:numPr>
        <w:spacing w:after="100"/>
        <w:jc w:val="both"/>
        <w:rPr>
          <w:rFonts w:asciiTheme="minorHAnsi" w:hAnsiTheme="minorHAnsi" w:cs="Times New Roman"/>
          <w:color w:val="002060"/>
        </w:rPr>
      </w:pPr>
      <w:r w:rsidRPr="0082349F">
        <w:rPr>
          <w:rFonts w:asciiTheme="minorHAnsi" w:hAnsiTheme="minorHAnsi" w:cs="Times New Roman"/>
          <w:color w:val="002060"/>
        </w:rPr>
        <w:t>Ensure Hearing Officer Determination (HOD) implementation timeliness</w:t>
      </w:r>
      <w:r w:rsidR="00711E62" w:rsidRPr="0082349F">
        <w:rPr>
          <w:rFonts w:asciiTheme="minorHAnsi" w:hAnsiTheme="minorHAnsi" w:cs="Times New Roman"/>
          <w:color w:val="002060"/>
        </w:rPr>
        <w:t>;</w:t>
      </w:r>
    </w:p>
    <w:p w14:paraId="652AD686" w14:textId="77777777" w:rsidR="00744BFA" w:rsidRPr="0082349F" w:rsidRDefault="00744BFA" w:rsidP="00335BE1">
      <w:pPr>
        <w:pStyle w:val="ListParagraph"/>
        <w:widowControl w:val="0"/>
        <w:numPr>
          <w:ilvl w:val="0"/>
          <w:numId w:val="11"/>
        </w:numPr>
        <w:spacing w:after="100"/>
        <w:jc w:val="both"/>
        <w:rPr>
          <w:rFonts w:asciiTheme="minorHAnsi" w:hAnsiTheme="minorHAnsi" w:cs="Times New Roman"/>
          <w:color w:val="002060"/>
        </w:rPr>
      </w:pPr>
      <w:r w:rsidRPr="0082349F">
        <w:rPr>
          <w:rFonts w:asciiTheme="minorHAnsi" w:hAnsiTheme="minorHAnsi" w:cs="Times New Roman"/>
          <w:color w:val="002060"/>
        </w:rPr>
        <w:t>Ensure secondary transition compliance</w:t>
      </w:r>
      <w:r w:rsidR="00711E62" w:rsidRPr="0082349F">
        <w:rPr>
          <w:rFonts w:asciiTheme="minorHAnsi" w:hAnsiTheme="minorHAnsi" w:cs="Times New Roman"/>
          <w:color w:val="002060"/>
        </w:rPr>
        <w:t>;</w:t>
      </w:r>
    </w:p>
    <w:p w14:paraId="3774AD58" w14:textId="77777777" w:rsidR="00744BFA" w:rsidRPr="0082349F" w:rsidRDefault="00744BFA" w:rsidP="00335BE1">
      <w:pPr>
        <w:pStyle w:val="ListParagraph"/>
        <w:widowControl w:val="0"/>
        <w:numPr>
          <w:ilvl w:val="0"/>
          <w:numId w:val="11"/>
        </w:numPr>
        <w:spacing w:after="100"/>
        <w:jc w:val="both"/>
        <w:rPr>
          <w:rFonts w:asciiTheme="minorHAnsi" w:hAnsiTheme="minorHAnsi" w:cs="Times New Roman"/>
          <w:color w:val="002060"/>
        </w:rPr>
      </w:pPr>
      <w:r w:rsidRPr="0082349F">
        <w:rPr>
          <w:rFonts w:asciiTheme="minorHAnsi" w:hAnsiTheme="minorHAnsi" w:cs="Times New Roman"/>
          <w:color w:val="002060"/>
        </w:rPr>
        <w:t>Implement a system of general supervision (monitoring and compliance) designed to identify and ensure timely correction of noncompliance</w:t>
      </w:r>
      <w:r w:rsidR="00711E62" w:rsidRPr="0082349F">
        <w:rPr>
          <w:rFonts w:asciiTheme="minorHAnsi" w:hAnsiTheme="minorHAnsi" w:cs="Times New Roman"/>
          <w:color w:val="002060"/>
        </w:rPr>
        <w:t>;</w:t>
      </w:r>
    </w:p>
    <w:p w14:paraId="122ADA92" w14:textId="77777777" w:rsidR="00744BFA" w:rsidRPr="0082349F" w:rsidRDefault="00744BFA" w:rsidP="00335BE1">
      <w:pPr>
        <w:pStyle w:val="ListParagraph"/>
        <w:widowControl w:val="0"/>
        <w:numPr>
          <w:ilvl w:val="0"/>
          <w:numId w:val="11"/>
        </w:numPr>
        <w:spacing w:after="100"/>
        <w:jc w:val="both"/>
        <w:rPr>
          <w:rFonts w:asciiTheme="minorHAnsi" w:hAnsiTheme="minorHAnsi" w:cs="Times New Roman"/>
          <w:color w:val="002060"/>
        </w:rPr>
      </w:pPr>
      <w:r w:rsidRPr="0082349F">
        <w:rPr>
          <w:rFonts w:asciiTheme="minorHAnsi" w:hAnsiTheme="minorHAnsi" w:cs="Times New Roman"/>
          <w:color w:val="002060"/>
        </w:rPr>
        <w:t>Ensure timely transition from Part C (early intervention) to Part B (special education)</w:t>
      </w:r>
      <w:r w:rsidR="00711E62" w:rsidRPr="0082349F">
        <w:rPr>
          <w:rFonts w:asciiTheme="minorHAnsi" w:hAnsiTheme="minorHAnsi" w:cs="Times New Roman"/>
          <w:color w:val="002060"/>
        </w:rPr>
        <w:t>;</w:t>
      </w:r>
    </w:p>
    <w:p w14:paraId="110FBF1A" w14:textId="77777777" w:rsidR="00744BFA" w:rsidRPr="0082349F" w:rsidRDefault="00744BFA" w:rsidP="00335BE1">
      <w:pPr>
        <w:pStyle w:val="ListParagraph"/>
        <w:widowControl w:val="0"/>
        <w:numPr>
          <w:ilvl w:val="0"/>
          <w:numId w:val="11"/>
        </w:numPr>
        <w:spacing w:after="100"/>
        <w:jc w:val="both"/>
        <w:rPr>
          <w:rFonts w:asciiTheme="minorHAnsi" w:hAnsiTheme="minorHAnsi" w:cs="Times New Roman"/>
          <w:color w:val="002060"/>
        </w:rPr>
      </w:pPr>
      <w:r w:rsidRPr="0082349F">
        <w:rPr>
          <w:rFonts w:asciiTheme="minorHAnsi" w:hAnsiTheme="minorHAnsi" w:cs="Times New Roman"/>
          <w:color w:val="002060"/>
        </w:rPr>
        <w:t>Provide training and technical assistance</w:t>
      </w:r>
      <w:r w:rsidR="00711E62" w:rsidRPr="0082349F">
        <w:rPr>
          <w:rFonts w:asciiTheme="minorHAnsi" w:hAnsiTheme="minorHAnsi" w:cs="Times New Roman"/>
          <w:color w:val="002060"/>
        </w:rPr>
        <w:t>; and</w:t>
      </w:r>
    </w:p>
    <w:p w14:paraId="2422F46E" w14:textId="77777777" w:rsidR="00744BFA" w:rsidRPr="0082349F" w:rsidRDefault="00744BFA" w:rsidP="00335BE1">
      <w:pPr>
        <w:pStyle w:val="ListParagraph"/>
        <w:widowControl w:val="0"/>
        <w:numPr>
          <w:ilvl w:val="0"/>
          <w:numId w:val="11"/>
        </w:numPr>
        <w:spacing w:after="100"/>
        <w:jc w:val="both"/>
        <w:rPr>
          <w:rFonts w:asciiTheme="minorHAnsi" w:hAnsiTheme="minorHAnsi" w:cs="Times New Roman"/>
          <w:color w:val="002060"/>
        </w:rPr>
      </w:pPr>
      <w:r w:rsidRPr="0082349F">
        <w:rPr>
          <w:rFonts w:asciiTheme="minorHAnsi" w:hAnsiTheme="minorHAnsi" w:cs="Times New Roman"/>
          <w:color w:val="002060"/>
        </w:rPr>
        <w:t>Ensure special education data accuracy and validity</w:t>
      </w:r>
      <w:r w:rsidR="00711E62" w:rsidRPr="0082349F">
        <w:rPr>
          <w:rFonts w:asciiTheme="minorHAnsi" w:hAnsiTheme="minorHAnsi" w:cs="Times New Roman"/>
          <w:color w:val="002060"/>
        </w:rPr>
        <w:t>.</w:t>
      </w:r>
    </w:p>
    <w:p w14:paraId="6C07EB56" w14:textId="77777777" w:rsidR="00744BFA" w:rsidRPr="0082349F" w:rsidRDefault="00744BFA" w:rsidP="00335BE1">
      <w:pPr>
        <w:ind w:left="360"/>
        <w:jc w:val="both"/>
        <w:rPr>
          <w:rFonts w:asciiTheme="minorHAnsi" w:hAnsiTheme="minorHAnsi" w:cs="Times New Roman"/>
          <w:color w:val="002060"/>
        </w:rPr>
      </w:pPr>
    </w:p>
    <w:p w14:paraId="06DC381C" w14:textId="77777777" w:rsidR="00744BFA" w:rsidRPr="0082349F" w:rsidRDefault="00B457E1" w:rsidP="00335BE1">
      <w:pPr>
        <w:ind w:left="360"/>
        <w:jc w:val="both"/>
        <w:rPr>
          <w:rFonts w:asciiTheme="minorHAnsi" w:hAnsiTheme="minorHAnsi" w:cs="Times New Roman"/>
          <w:color w:val="002060"/>
        </w:rPr>
      </w:pPr>
      <w:r w:rsidRPr="0082349F">
        <w:rPr>
          <w:rFonts w:asciiTheme="minorHAnsi" w:hAnsiTheme="minorHAnsi" w:cs="Times New Roman"/>
          <w:color w:val="002060"/>
        </w:rPr>
        <w:t>Further</w:t>
      </w:r>
      <w:r w:rsidR="00744BFA" w:rsidRPr="0082349F">
        <w:rPr>
          <w:rFonts w:asciiTheme="minorHAnsi" w:hAnsiTheme="minorHAnsi" w:cs="Times New Roman"/>
          <w:color w:val="002060"/>
        </w:rPr>
        <w:t xml:space="preserve">, DSE’s spending plan aligns with the OSSE’s agency-wide goals as follows:  </w:t>
      </w:r>
    </w:p>
    <w:p w14:paraId="49613302" w14:textId="77777777" w:rsidR="00744BFA" w:rsidRPr="0082349F" w:rsidRDefault="00744BFA" w:rsidP="00744BFA">
      <w:pPr>
        <w:ind w:left="360"/>
        <w:rPr>
          <w:rFonts w:asciiTheme="minorHAnsi" w:hAnsiTheme="minorHAnsi" w:cs="Times New Roman"/>
          <w:color w:val="002060"/>
        </w:rPr>
      </w:pPr>
    </w:p>
    <w:tbl>
      <w:tblPr>
        <w:tblStyle w:val="TableGrid"/>
        <w:tblW w:w="0" w:type="auto"/>
        <w:tblInd w:w="468" w:type="dxa"/>
        <w:tblLook w:val="04A0" w:firstRow="1" w:lastRow="0" w:firstColumn="1" w:lastColumn="0" w:noHBand="0" w:noVBand="1"/>
      </w:tblPr>
      <w:tblGrid>
        <w:gridCol w:w="679"/>
        <w:gridCol w:w="2019"/>
        <w:gridCol w:w="6302"/>
      </w:tblGrid>
      <w:tr w:rsidR="00DB3F16" w:rsidRPr="0082349F" w14:paraId="00BAA30E" w14:textId="77777777" w:rsidTr="00CB66E5">
        <w:trPr>
          <w:trHeight w:val="480"/>
        </w:trPr>
        <w:tc>
          <w:tcPr>
            <w:tcW w:w="679" w:type="dxa"/>
            <w:hideMark/>
          </w:tcPr>
          <w:p w14:paraId="30EEAD58" w14:textId="77777777" w:rsidR="00744BFA" w:rsidRPr="0082349F" w:rsidRDefault="00744BFA" w:rsidP="006C1FC4">
            <w:pPr>
              <w:rPr>
                <w:rFonts w:asciiTheme="minorHAnsi" w:hAnsiTheme="minorHAnsi" w:cs="Times New Roman"/>
                <w:color w:val="002060"/>
              </w:rPr>
            </w:pPr>
          </w:p>
        </w:tc>
        <w:tc>
          <w:tcPr>
            <w:tcW w:w="8321" w:type="dxa"/>
            <w:gridSpan w:val="2"/>
            <w:vAlign w:val="center"/>
            <w:hideMark/>
          </w:tcPr>
          <w:p w14:paraId="4F7CC5BC" w14:textId="77777777" w:rsidR="00744BFA" w:rsidRPr="0082349F" w:rsidRDefault="00744BFA" w:rsidP="00CB66E5">
            <w:pPr>
              <w:jc w:val="center"/>
              <w:rPr>
                <w:rFonts w:asciiTheme="minorHAnsi" w:hAnsiTheme="minorHAnsi" w:cs="Times New Roman"/>
                <w:b/>
                <w:bCs/>
                <w:color w:val="002060"/>
              </w:rPr>
            </w:pPr>
            <w:r w:rsidRPr="0082349F">
              <w:rPr>
                <w:rFonts w:asciiTheme="minorHAnsi" w:hAnsiTheme="minorHAnsi" w:cs="Times New Roman"/>
                <w:b/>
                <w:bCs/>
                <w:color w:val="002060"/>
              </w:rPr>
              <w:t>GOALS</w:t>
            </w:r>
          </w:p>
        </w:tc>
      </w:tr>
      <w:tr w:rsidR="00DB3F16" w:rsidRPr="0082349F" w14:paraId="28F7C718" w14:textId="77777777" w:rsidTr="005560AF">
        <w:trPr>
          <w:trHeight w:val="300"/>
        </w:trPr>
        <w:tc>
          <w:tcPr>
            <w:tcW w:w="679" w:type="dxa"/>
            <w:vAlign w:val="center"/>
            <w:hideMark/>
          </w:tcPr>
          <w:p w14:paraId="130DF6D4" w14:textId="77777777" w:rsidR="00744BFA" w:rsidRPr="0082349F" w:rsidRDefault="00744BFA" w:rsidP="00CB66E5">
            <w:pPr>
              <w:jc w:val="center"/>
              <w:rPr>
                <w:rFonts w:asciiTheme="minorHAnsi" w:hAnsiTheme="minorHAnsi" w:cs="Times New Roman"/>
                <w:color w:val="002060"/>
              </w:rPr>
            </w:pPr>
            <w:r w:rsidRPr="0082349F">
              <w:rPr>
                <w:rFonts w:asciiTheme="minorHAnsi" w:hAnsiTheme="minorHAnsi" w:cs="Times New Roman"/>
                <w:color w:val="002060"/>
              </w:rPr>
              <w:t>1</w:t>
            </w:r>
          </w:p>
        </w:tc>
        <w:tc>
          <w:tcPr>
            <w:tcW w:w="2019" w:type="dxa"/>
            <w:vAlign w:val="center"/>
            <w:hideMark/>
          </w:tcPr>
          <w:p w14:paraId="19C2D2F9" w14:textId="77777777" w:rsidR="00744BFA" w:rsidRPr="0082349F" w:rsidRDefault="00744BFA" w:rsidP="00CB66E5">
            <w:pPr>
              <w:rPr>
                <w:rFonts w:asciiTheme="minorHAnsi" w:hAnsiTheme="minorHAnsi" w:cs="Times New Roman"/>
                <w:b/>
                <w:bCs/>
                <w:color w:val="002060"/>
              </w:rPr>
            </w:pPr>
            <w:r w:rsidRPr="0082349F">
              <w:rPr>
                <w:rFonts w:asciiTheme="minorHAnsi" w:hAnsiTheme="minorHAnsi" w:cs="Times New Roman"/>
                <w:b/>
                <w:bCs/>
                <w:color w:val="002060"/>
              </w:rPr>
              <w:t>Ready For School</w:t>
            </w:r>
          </w:p>
        </w:tc>
        <w:tc>
          <w:tcPr>
            <w:tcW w:w="6302" w:type="dxa"/>
            <w:vAlign w:val="center"/>
            <w:hideMark/>
          </w:tcPr>
          <w:p w14:paraId="62246306" w14:textId="77777777" w:rsidR="00744BFA" w:rsidRPr="0082349F" w:rsidRDefault="00744BFA" w:rsidP="005560AF">
            <w:pPr>
              <w:rPr>
                <w:rFonts w:asciiTheme="minorHAnsi" w:hAnsiTheme="minorHAnsi" w:cs="Times New Roman"/>
                <w:color w:val="002060"/>
              </w:rPr>
            </w:pPr>
            <w:r w:rsidRPr="0082349F">
              <w:rPr>
                <w:rFonts w:asciiTheme="minorHAnsi" w:hAnsiTheme="minorHAnsi" w:cs="Times New Roman"/>
                <w:color w:val="002060"/>
              </w:rPr>
              <w:t>75% of children are ready for school by 2016-2017</w:t>
            </w:r>
          </w:p>
        </w:tc>
      </w:tr>
      <w:tr w:rsidR="00DB3F16" w:rsidRPr="0082349F" w14:paraId="64720953" w14:textId="77777777" w:rsidTr="005560AF">
        <w:trPr>
          <w:trHeight w:val="600"/>
        </w:trPr>
        <w:tc>
          <w:tcPr>
            <w:tcW w:w="679" w:type="dxa"/>
            <w:vAlign w:val="center"/>
            <w:hideMark/>
          </w:tcPr>
          <w:p w14:paraId="449DA0B6" w14:textId="77777777" w:rsidR="00744BFA" w:rsidRPr="0082349F" w:rsidRDefault="00744BFA" w:rsidP="00CB66E5">
            <w:pPr>
              <w:jc w:val="center"/>
              <w:rPr>
                <w:rFonts w:asciiTheme="minorHAnsi" w:hAnsiTheme="minorHAnsi" w:cs="Times New Roman"/>
                <w:color w:val="002060"/>
              </w:rPr>
            </w:pPr>
            <w:r w:rsidRPr="0082349F">
              <w:rPr>
                <w:rFonts w:asciiTheme="minorHAnsi" w:hAnsiTheme="minorHAnsi" w:cs="Times New Roman"/>
                <w:color w:val="002060"/>
              </w:rPr>
              <w:t>2</w:t>
            </w:r>
          </w:p>
        </w:tc>
        <w:tc>
          <w:tcPr>
            <w:tcW w:w="2019" w:type="dxa"/>
            <w:vAlign w:val="center"/>
            <w:hideMark/>
          </w:tcPr>
          <w:p w14:paraId="6E2B3A69" w14:textId="77777777" w:rsidR="00744BFA" w:rsidRPr="0082349F" w:rsidRDefault="00744BFA" w:rsidP="00CB66E5">
            <w:pPr>
              <w:rPr>
                <w:rFonts w:asciiTheme="minorHAnsi" w:hAnsiTheme="minorHAnsi" w:cs="Times New Roman"/>
                <w:b/>
                <w:bCs/>
                <w:color w:val="002060"/>
              </w:rPr>
            </w:pPr>
            <w:r w:rsidRPr="0082349F">
              <w:rPr>
                <w:rFonts w:asciiTheme="minorHAnsi" w:hAnsiTheme="minorHAnsi" w:cs="Times New Roman"/>
                <w:b/>
                <w:bCs/>
                <w:color w:val="002060"/>
              </w:rPr>
              <w:t>3rd Grade Reading</w:t>
            </w:r>
          </w:p>
        </w:tc>
        <w:tc>
          <w:tcPr>
            <w:tcW w:w="6302" w:type="dxa"/>
            <w:vAlign w:val="center"/>
            <w:hideMark/>
          </w:tcPr>
          <w:p w14:paraId="0B6CB540" w14:textId="77777777" w:rsidR="00744BFA" w:rsidRPr="0082349F" w:rsidRDefault="00744BFA" w:rsidP="005560AF">
            <w:pPr>
              <w:rPr>
                <w:rFonts w:asciiTheme="minorHAnsi" w:hAnsiTheme="minorHAnsi" w:cs="Times New Roman"/>
                <w:color w:val="002060"/>
              </w:rPr>
            </w:pPr>
            <w:r w:rsidRPr="0082349F">
              <w:rPr>
                <w:rFonts w:asciiTheme="minorHAnsi" w:hAnsiTheme="minorHAnsi" w:cs="Times New Roman"/>
                <w:color w:val="002060"/>
              </w:rPr>
              <w:t>75% of 3rd graders are proficient or advanced in reading by 2016-2017</w:t>
            </w:r>
          </w:p>
        </w:tc>
      </w:tr>
      <w:tr w:rsidR="00DB3F16" w:rsidRPr="0082349F" w14:paraId="744CCBBD" w14:textId="77777777" w:rsidTr="005560AF">
        <w:trPr>
          <w:trHeight w:val="615"/>
        </w:trPr>
        <w:tc>
          <w:tcPr>
            <w:tcW w:w="679" w:type="dxa"/>
            <w:vAlign w:val="center"/>
            <w:hideMark/>
          </w:tcPr>
          <w:p w14:paraId="05DCB462" w14:textId="77777777" w:rsidR="00744BFA" w:rsidRPr="0082349F" w:rsidRDefault="00744BFA" w:rsidP="00CB66E5">
            <w:pPr>
              <w:jc w:val="center"/>
              <w:rPr>
                <w:rFonts w:asciiTheme="minorHAnsi" w:hAnsiTheme="minorHAnsi" w:cs="Times New Roman"/>
                <w:color w:val="002060"/>
              </w:rPr>
            </w:pPr>
            <w:r w:rsidRPr="0082349F">
              <w:rPr>
                <w:rFonts w:asciiTheme="minorHAnsi" w:hAnsiTheme="minorHAnsi" w:cs="Times New Roman"/>
                <w:color w:val="002060"/>
              </w:rPr>
              <w:t>3</w:t>
            </w:r>
          </w:p>
        </w:tc>
        <w:tc>
          <w:tcPr>
            <w:tcW w:w="2019" w:type="dxa"/>
            <w:vAlign w:val="center"/>
            <w:hideMark/>
          </w:tcPr>
          <w:p w14:paraId="7F00D768" w14:textId="77777777" w:rsidR="00744BFA" w:rsidRPr="0082349F" w:rsidRDefault="00744BFA" w:rsidP="00CB66E5">
            <w:pPr>
              <w:rPr>
                <w:rFonts w:asciiTheme="minorHAnsi" w:hAnsiTheme="minorHAnsi" w:cs="Times New Roman"/>
                <w:b/>
                <w:bCs/>
                <w:color w:val="002060"/>
              </w:rPr>
            </w:pPr>
            <w:r w:rsidRPr="0082349F">
              <w:rPr>
                <w:rFonts w:asciiTheme="minorHAnsi" w:hAnsiTheme="minorHAnsi" w:cs="Times New Roman"/>
                <w:b/>
                <w:bCs/>
                <w:color w:val="002060"/>
              </w:rPr>
              <w:t>8th Grade Math</w:t>
            </w:r>
          </w:p>
        </w:tc>
        <w:tc>
          <w:tcPr>
            <w:tcW w:w="6302" w:type="dxa"/>
            <w:vAlign w:val="center"/>
            <w:hideMark/>
          </w:tcPr>
          <w:p w14:paraId="5E54BFBE" w14:textId="77777777" w:rsidR="00744BFA" w:rsidRPr="0082349F" w:rsidRDefault="00744BFA" w:rsidP="005560AF">
            <w:pPr>
              <w:rPr>
                <w:rFonts w:asciiTheme="minorHAnsi" w:hAnsiTheme="minorHAnsi" w:cs="Times New Roman"/>
                <w:color w:val="002060"/>
              </w:rPr>
            </w:pPr>
            <w:r w:rsidRPr="0082349F">
              <w:rPr>
                <w:rFonts w:asciiTheme="minorHAnsi" w:hAnsiTheme="minorHAnsi" w:cs="Times New Roman"/>
                <w:color w:val="002060"/>
              </w:rPr>
              <w:t>75% of 8th graders are proficient or advanced in math by 2016-2017</w:t>
            </w:r>
          </w:p>
        </w:tc>
      </w:tr>
      <w:tr w:rsidR="00DB3F16" w:rsidRPr="0082349F" w14:paraId="3E432EA7" w14:textId="77777777" w:rsidTr="005560AF">
        <w:trPr>
          <w:trHeight w:val="600"/>
        </w:trPr>
        <w:tc>
          <w:tcPr>
            <w:tcW w:w="679" w:type="dxa"/>
            <w:vAlign w:val="center"/>
            <w:hideMark/>
          </w:tcPr>
          <w:p w14:paraId="41310B32" w14:textId="77777777" w:rsidR="00744BFA" w:rsidRPr="0082349F" w:rsidRDefault="00744BFA" w:rsidP="00CB66E5">
            <w:pPr>
              <w:jc w:val="center"/>
              <w:rPr>
                <w:rFonts w:asciiTheme="minorHAnsi" w:hAnsiTheme="minorHAnsi" w:cs="Times New Roman"/>
                <w:color w:val="002060"/>
              </w:rPr>
            </w:pPr>
            <w:r w:rsidRPr="0082349F">
              <w:rPr>
                <w:rFonts w:asciiTheme="minorHAnsi" w:hAnsiTheme="minorHAnsi" w:cs="Times New Roman"/>
                <w:color w:val="002060"/>
              </w:rPr>
              <w:lastRenderedPageBreak/>
              <w:t>4</w:t>
            </w:r>
          </w:p>
        </w:tc>
        <w:tc>
          <w:tcPr>
            <w:tcW w:w="2019" w:type="dxa"/>
            <w:vAlign w:val="center"/>
            <w:hideMark/>
          </w:tcPr>
          <w:p w14:paraId="1187489F" w14:textId="77777777" w:rsidR="00744BFA" w:rsidRPr="0082349F" w:rsidRDefault="00744BFA" w:rsidP="00CB66E5">
            <w:pPr>
              <w:rPr>
                <w:rFonts w:asciiTheme="minorHAnsi" w:hAnsiTheme="minorHAnsi" w:cs="Times New Roman"/>
                <w:b/>
                <w:bCs/>
                <w:color w:val="002060"/>
              </w:rPr>
            </w:pPr>
            <w:r w:rsidRPr="0082349F">
              <w:rPr>
                <w:rFonts w:asciiTheme="minorHAnsi" w:hAnsiTheme="minorHAnsi" w:cs="Times New Roman"/>
                <w:b/>
                <w:bCs/>
                <w:color w:val="002060"/>
              </w:rPr>
              <w:t>High School Graduation</w:t>
            </w:r>
          </w:p>
        </w:tc>
        <w:tc>
          <w:tcPr>
            <w:tcW w:w="6302" w:type="dxa"/>
            <w:vAlign w:val="center"/>
            <w:hideMark/>
          </w:tcPr>
          <w:p w14:paraId="0DF9ABDE" w14:textId="77777777" w:rsidR="00744BFA" w:rsidRPr="0082349F" w:rsidRDefault="00744BFA" w:rsidP="005560AF">
            <w:pPr>
              <w:rPr>
                <w:rFonts w:asciiTheme="minorHAnsi" w:hAnsiTheme="minorHAnsi" w:cs="Times New Roman"/>
                <w:color w:val="002060"/>
              </w:rPr>
            </w:pPr>
            <w:r w:rsidRPr="0082349F">
              <w:rPr>
                <w:rFonts w:asciiTheme="minorHAnsi" w:hAnsiTheme="minorHAnsi" w:cs="Times New Roman"/>
                <w:color w:val="002060"/>
              </w:rPr>
              <w:t>75% of all students graduate HS in four years ready for college and careers by 2016-2017</w:t>
            </w:r>
          </w:p>
        </w:tc>
      </w:tr>
      <w:tr w:rsidR="00DB3F16" w:rsidRPr="0082349F" w14:paraId="08B039B1" w14:textId="77777777" w:rsidTr="005560AF">
        <w:trPr>
          <w:trHeight w:val="600"/>
        </w:trPr>
        <w:tc>
          <w:tcPr>
            <w:tcW w:w="679" w:type="dxa"/>
            <w:vAlign w:val="center"/>
            <w:hideMark/>
          </w:tcPr>
          <w:p w14:paraId="32618FB1" w14:textId="77777777" w:rsidR="00744BFA" w:rsidRPr="0082349F" w:rsidRDefault="00744BFA" w:rsidP="00CB66E5">
            <w:pPr>
              <w:jc w:val="center"/>
              <w:rPr>
                <w:rFonts w:asciiTheme="minorHAnsi" w:hAnsiTheme="minorHAnsi" w:cs="Times New Roman"/>
                <w:color w:val="002060"/>
              </w:rPr>
            </w:pPr>
            <w:r w:rsidRPr="0082349F">
              <w:rPr>
                <w:rFonts w:asciiTheme="minorHAnsi" w:hAnsiTheme="minorHAnsi" w:cs="Times New Roman"/>
                <w:color w:val="002060"/>
              </w:rPr>
              <w:t>5</w:t>
            </w:r>
          </w:p>
        </w:tc>
        <w:tc>
          <w:tcPr>
            <w:tcW w:w="2019" w:type="dxa"/>
            <w:vAlign w:val="center"/>
            <w:hideMark/>
          </w:tcPr>
          <w:p w14:paraId="63D236AA" w14:textId="77777777" w:rsidR="00744BFA" w:rsidRPr="0082349F" w:rsidRDefault="00CB66E5" w:rsidP="00CB66E5">
            <w:pPr>
              <w:rPr>
                <w:rFonts w:asciiTheme="minorHAnsi" w:hAnsiTheme="minorHAnsi" w:cs="Times New Roman"/>
                <w:b/>
                <w:bCs/>
                <w:color w:val="002060"/>
              </w:rPr>
            </w:pPr>
            <w:r w:rsidRPr="0082349F">
              <w:rPr>
                <w:rFonts w:asciiTheme="minorHAnsi" w:hAnsiTheme="minorHAnsi" w:cs="Times New Roman"/>
                <w:b/>
                <w:bCs/>
                <w:color w:val="002060"/>
              </w:rPr>
              <w:t>Post-secondary A</w:t>
            </w:r>
            <w:r w:rsidR="00744BFA" w:rsidRPr="0082349F">
              <w:rPr>
                <w:rFonts w:asciiTheme="minorHAnsi" w:hAnsiTheme="minorHAnsi" w:cs="Times New Roman"/>
                <w:b/>
                <w:bCs/>
                <w:color w:val="002060"/>
              </w:rPr>
              <w:t>ttainment</w:t>
            </w:r>
          </w:p>
        </w:tc>
        <w:tc>
          <w:tcPr>
            <w:tcW w:w="6302" w:type="dxa"/>
            <w:vAlign w:val="center"/>
            <w:hideMark/>
          </w:tcPr>
          <w:p w14:paraId="12880EE6" w14:textId="77777777" w:rsidR="00744BFA" w:rsidRPr="0082349F" w:rsidRDefault="00744BFA" w:rsidP="005560AF">
            <w:pPr>
              <w:rPr>
                <w:rFonts w:asciiTheme="minorHAnsi" w:hAnsiTheme="minorHAnsi" w:cs="Times New Roman"/>
                <w:color w:val="002060"/>
              </w:rPr>
            </w:pPr>
            <w:r w:rsidRPr="0082349F">
              <w:rPr>
                <w:rFonts w:asciiTheme="minorHAnsi" w:hAnsiTheme="minorHAnsi" w:cs="Times New Roman"/>
                <w:color w:val="002060"/>
              </w:rPr>
              <w:t>38% of District students complete a post-secondary credential within 6 years of HS graduation by 2017</w:t>
            </w:r>
          </w:p>
        </w:tc>
      </w:tr>
      <w:tr w:rsidR="00DB3F16" w:rsidRPr="0082349F" w14:paraId="7DD40BEF" w14:textId="77777777" w:rsidTr="005560AF">
        <w:trPr>
          <w:trHeight w:val="510"/>
        </w:trPr>
        <w:tc>
          <w:tcPr>
            <w:tcW w:w="679" w:type="dxa"/>
            <w:vAlign w:val="center"/>
            <w:hideMark/>
          </w:tcPr>
          <w:p w14:paraId="6BA1EE40" w14:textId="77777777" w:rsidR="00744BFA" w:rsidRPr="0082349F" w:rsidRDefault="00744BFA" w:rsidP="00CB66E5">
            <w:pPr>
              <w:jc w:val="center"/>
              <w:rPr>
                <w:rFonts w:asciiTheme="minorHAnsi" w:hAnsiTheme="minorHAnsi" w:cs="Times New Roman"/>
                <w:color w:val="002060"/>
              </w:rPr>
            </w:pPr>
            <w:r w:rsidRPr="0082349F">
              <w:rPr>
                <w:rFonts w:asciiTheme="minorHAnsi" w:hAnsiTheme="minorHAnsi" w:cs="Times New Roman"/>
                <w:color w:val="002060"/>
              </w:rPr>
              <w:t>6</w:t>
            </w:r>
          </w:p>
        </w:tc>
        <w:tc>
          <w:tcPr>
            <w:tcW w:w="2019" w:type="dxa"/>
            <w:vAlign w:val="center"/>
            <w:hideMark/>
          </w:tcPr>
          <w:p w14:paraId="3E3DFADF" w14:textId="77777777" w:rsidR="00744BFA" w:rsidRPr="0082349F" w:rsidRDefault="00744BFA" w:rsidP="00CB66E5">
            <w:pPr>
              <w:rPr>
                <w:rFonts w:asciiTheme="minorHAnsi" w:hAnsiTheme="minorHAnsi" w:cs="Times New Roman"/>
                <w:b/>
                <w:bCs/>
                <w:color w:val="002060"/>
              </w:rPr>
            </w:pPr>
            <w:r w:rsidRPr="0082349F">
              <w:rPr>
                <w:rFonts w:asciiTheme="minorHAnsi" w:hAnsiTheme="minorHAnsi" w:cs="Times New Roman"/>
                <w:b/>
                <w:bCs/>
                <w:color w:val="002060"/>
              </w:rPr>
              <w:t>Disconnected Youth</w:t>
            </w:r>
          </w:p>
        </w:tc>
        <w:tc>
          <w:tcPr>
            <w:tcW w:w="6302" w:type="dxa"/>
            <w:vAlign w:val="center"/>
            <w:hideMark/>
          </w:tcPr>
          <w:p w14:paraId="6ACE0CF5" w14:textId="77777777" w:rsidR="00744BFA" w:rsidRPr="0082349F" w:rsidRDefault="00744BFA" w:rsidP="005560AF">
            <w:pPr>
              <w:rPr>
                <w:rFonts w:asciiTheme="minorHAnsi" w:hAnsiTheme="minorHAnsi" w:cs="Times New Roman"/>
                <w:color w:val="002060"/>
              </w:rPr>
            </w:pPr>
            <w:r w:rsidRPr="0082349F">
              <w:rPr>
                <w:rFonts w:asciiTheme="minorHAnsi" w:hAnsiTheme="minorHAnsi" w:cs="Times New Roman"/>
                <w:color w:val="002060"/>
              </w:rPr>
              <w:t>Decrease the number of low-income youth ages 16-24 who are not in school and are not employed to 7,000 by 2017</w:t>
            </w:r>
          </w:p>
        </w:tc>
      </w:tr>
      <w:tr w:rsidR="00DB3F16" w:rsidRPr="0082349F" w14:paraId="193FBF79" w14:textId="77777777" w:rsidTr="005560AF">
        <w:trPr>
          <w:trHeight w:val="315"/>
        </w:trPr>
        <w:tc>
          <w:tcPr>
            <w:tcW w:w="679" w:type="dxa"/>
            <w:vAlign w:val="center"/>
            <w:hideMark/>
          </w:tcPr>
          <w:p w14:paraId="4ADAD69F" w14:textId="77777777" w:rsidR="00744BFA" w:rsidRPr="0082349F" w:rsidRDefault="00744BFA" w:rsidP="00CB66E5">
            <w:pPr>
              <w:jc w:val="center"/>
              <w:rPr>
                <w:rFonts w:asciiTheme="minorHAnsi" w:hAnsiTheme="minorHAnsi" w:cs="Times New Roman"/>
                <w:color w:val="002060"/>
              </w:rPr>
            </w:pPr>
            <w:r w:rsidRPr="0082349F">
              <w:rPr>
                <w:rFonts w:asciiTheme="minorHAnsi" w:hAnsiTheme="minorHAnsi" w:cs="Times New Roman"/>
                <w:color w:val="002060"/>
              </w:rPr>
              <w:t>7</w:t>
            </w:r>
          </w:p>
        </w:tc>
        <w:tc>
          <w:tcPr>
            <w:tcW w:w="2019" w:type="dxa"/>
            <w:vAlign w:val="center"/>
            <w:hideMark/>
          </w:tcPr>
          <w:p w14:paraId="486862E9" w14:textId="77777777" w:rsidR="00744BFA" w:rsidRPr="0082349F" w:rsidRDefault="00744BFA" w:rsidP="00CB66E5">
            <w:pPr>
              <w:rPr>
                <w:rFonts w:asciiTheme="minorHAnsi" w:hAnsiTheme="minorHAnsi" w:cs="Times New Roman"/>
                <w:b/>
                <w:bCs/>
                <w:color w:val="002060"/>
              </w:rPr>
            </w:pPr>
            <w:r w:rsidRPr="0082349F">
              <w:rPr>
                <w:rFonts w:asciiTheme="minorHAnsi" w:hAnsiTheme="minorHAnsi" w:cs="Times New Roman"/>
                <w:b/>
                <w:bCs/>
                <w:color w:val="002060"/>
              </w:rPr>
              <w:t>Careers</w:t>
            </w:r>
          </w:p>
        </w:tc>
        <w:tc>
          <w:tcPr>
            <w:tcW w:w="6302" w:type="dxa"/>
            <w:vAlign w:val="center"/>
            <w:hideMark/>
          </w:tcPr>
          <w:p w14:paraId="67A7539E" w14:textId="77777777" w:rsidR="00744BFA" w:rsidRPr="0082349F" w:rsidRDefault="00744BFA" w:rsidP="005560AF">
            <w:pPr>
              <w:rPr>
                <w:rFonts w:asciiTheme="minorHAnsi" w:hAnsiTheme="minorHAnsi" w:cs="Times New Roman"/>
                <w:color w:val="002060"/>
              </w:rPr>
            </w:pPr>
            <w:r w:rsidRPr="0082349F">
              <w:rPr>
                <w:rFonts w:asciiTheme="minorHAnsi" w:hAnsiTheme="minorHAnsi" w:cs="Times New Roman"/>
                <w:color w:val="002060"/>
              </w:rPr>
              <w:t>66% of DC residents ages 20-24 are employed full-time by 2017</w:t>
            </w:r>
          </w:p>
        </w:tc>
      </w:tr>
    </w:tbl>
    <w:p w14:paraId="3DA14E16" w14:textId="77777777" w:rsidR="00744BFA" w:rsidRPr="0082349F" w:rsidRDefault="00744BFA" w:rsidP="00744BFA">
      <w:pPr>
        <w:rPr>
          <w:rFonts w:asciiTheme="minorHAnsi" w:hAnsiTheme="minorHAnsi" w:cs="Times New Roman"/>
          <w:color w:val="002060"/>
        </w:rPr>
      </w:pPr>
    </w:p>
    <w:p w14:paraId="703D869E" w14:textId="19BD197E" w:rsidR="00A17C49" w:rsidRDefault="00A17C49" w:rsidP="00035A1E">
      <w:pPr>
        <w:ind w:left="360"/>
        <w:jc w:val="both"/>
        <w:rPr>
          <w:rFonts w:asciiTheme="minorHAnsi" w:hAnsiTheme="minorHAnsi" w:cs="Times New Roman"/>
          <w:color w:val="002060"/>
        </w:rPr>
      </w:pPr>
      <w:r>
        <w:rPr>
          <w:rFonts w:asciiTheme="minorHAnsi" w:hAnsiTheme="minorHAnsi" w:cs="Times New Roman"/>
          <w:color w:val="002060"/>
        </w:rPr>
        <w:t xml:space="preserve">For DSE spending plans by activity, see </w:t>
      </w:r>
      <w:r w:rsidR="00FF121E" w:rsidRPr="00FF121E">
        <w:rPr>
          <w:rFonts w:asciiTheme="minorHAnsi" w:hAnsiTheme="minorHAnsi" w:cs="Times New Roman"/>
          <w:color w:val="002060"/>
        </w:rPr>
        <w:t xml:space="preserve">Attachment </w:t>
      </w:r>
      <w:r w:rsidR="00FF121E">
        <w:rPr>
          <w:rFonts w:asciiTheme="minorHAnsi" w:hAnsiTheme="minorHAnsi" w:cs="Times New Roman"/>
          <w:color w:val="002060"/>
        </w:rPr>
        <w:t>6.</w:t>
      </w:r>
    </w:p>
    <w:p w14:paraId="0362596F" w14:textId="77777777" w:rsidR="00744BFA" w:rsidRPr="0082349F" w:rsidRDefault="00744BFA" w:rsidP="00744BFA">
      <w:pPr>
        <w:rPr>
          <w:rFonts w:asciiTheme="minorHAnsi" w:hAnsiTheme="minorHAnsi" w:cs="Times New Roman"/>
          <w:color w:val="002060"/>
        </w:rPr>
      </w:pPr>
    </w:p>
    <w:p w14:paraId="1A40C335" w14:textId="65D093F4" w:rsidR="0030336D" w:rsidRDefault="00463256" w:rsidP="00810089">
      <w:pPr>
        <w:ind w:left="360"/>
        <w:jc w:val="both"/>
        <w:rPr>
          <w:rFonts w:asciiTheme="minorHAnsi" w:hAnsiTheme="minorHAnsi" w:cs="Times New Roman"/>
          <w:color w:val="002060"/>
        </w:rPr>
      </w:pPr>
      <w:r w:rsidRPr="0082349F">
        <w:rPr>
          <w:rFonts w:asciiTheme="minorHAnsi" w:hAnsiTheme="minorHAnsi" w:cs="Times New Roman"/>
          <w:color w:val="002060"/>
        </w:rPr>
        <w:t>With regard to</w:t>
      </w:r>
      <w:r w:rsidR="000E5358" w:rsidRPr="0082349F">
        <w:rPr>
          <w:rFonts w:asciiTheme="minorHAnsi" w:hAnsiTheme="minorHAnsi" w:cs="Times New Roman"/>
          <w:color w:val="002060"/>
        </w:rPr>
        <w:t xml:space="preserve"> the amount budgeted to increase</w:t>
      </w:r>
      <w:r w:rsidRPr="0082349F">
        <w:rPr>
          <w:rFonts w:asciiTheme="minorHAnsi" w:hAnsiTheme="minorHAnsi" w:cs="Times New Roman"/>
          <w:color w:val="002060"/>
        </w:rPr>
        <w:t xml:space="preserve"> the </w:t>
      </w:r>
      <w:r w:rsidR="00360BC1" w:rsidRPr="0082349F">
        <w:rPr>
          <w:rFonts w:asciiTheme="minorHAnsi" w:hAnsiTheme="minorHAnsi" w:cs="Times New Roman"/>
          <w:color w:val="002060"/>
        </w:rPr>
        <w:t>special education least restrictive environment (LRE) capacity in the District,</w:t>
      </w:r>
      <w:r w:rsidR="00810089" w:rsidRPr="0082349F">
        <w:rPr>
          <w:rFonts w:asciiTheme="minorHAnsi" w:hAnsiTheme="minorHAnsi" w:cs="Times New Roman"/>
          <w:color w:val="002060"/>
        </w:rPr>
        <w:t xml:space="preserve"> no new funds have been set aside for capacity building.  A</w:t>
      </w:r>
      <w:r w:rsidR="00744BFA" w:rsidRPr="0082349F">
        <w:rPr>
          <w:rFonts w:asciiTheme="minorHAnsi" w:hAnsiTheme="minorHAnsi" w:cs="Times New Roman"/>
          <w:color w:val="002060"/>
        </w:rPr>
        <w:t xml:space="preserve">ll training and technical assistance work completed by DSE is designed to address LRE by increasing the skills and knowledge of LEA staff.  </w:t>
      </w:r>
      <w:r w:rsidR="0030336D">
        <w:rPr>
          <w:rFonts w:asciiTheme="minorHAnsi" w:hAnsiTheme="minorHAnsi" w:cs="Times New Roman"/>
          <w:color w:val="002060"/>
        </w:rPr>
        <w:t>Such work includes:</w:t>
      </w:r>
    </w:p>
    <w:p w14:paraId="211961FB" w14:textId="77777777" w:rsidR="0030336D" w:rsidRDefault="0030336D" w:rsidP="00810089">
      <w:pPr>
        <w:ind w:left="360"/>
        <w:jc w:val="both"/>
        <w:rPr>
          <w:rFonts w:asciiTheme="minorHAnsi" w:hAnsiTheme="minorHAnsi" w:cs="Times New Roman"/>
          <w:color w:val="002060"/>
        </w:rPr>
      </w:pPr>
    </w:p>
    <w:p w14:paraId="401CDC36" w14:textId="099FAE1C" w:rsidR="001A2474" w:rsidRPr="001A2474" w:rsidRDefault="001A2474" w:rsidP="001A2474">
      <w:pPr>
        <w:pStyle w:val="ListParagraph"/>
        <w:widowControl w:val="0"/>
        <w:numPr>
          <w:ilvl w:val="0"/>
          <w:numId w:val="36"/>
        </w:numPr>
        <w:rPr>
          <w:rFonts w:asciiTheme="minorHAnsi" w:eastAsia="Times New Roman" w:hAnsiTheme="minorHAnsi" w:cs="Times New Roman"/>
          <w:color w:val="002060"/>
        </w:rPr>
      </w:pPr>
      <w:r w:rsidRPr="001A2474">
        <w:rPr>
          <w:rFonts w:asciiTheme="minorHAnsi" w:eastAsia="Times New Roman" w:hAnsiTheme="minorHAnsi" w:cs="Times New Roman"/>
          <w:color w:val="002060"/>
        </w:rPr>
        <w:t>OSSE DSE continues its monthly webinar series for LEA points of contact, ensuring that they are made aware of future data system changes and upcoming policy releases, and that they have the opportunity to give DSE feedback on proposed activities.</w:t>
      </w:r>
    </w:p>
    <w:p w14:paraId="2E38D2D1" w14:textId="77777777" w:rsidR="001A2474" w:rsidRPr="001A2474" w:rsidRDefault="001A2474" w:rsidP="001A2474">
      <w:pPr>
        <w:widowControl w:val="0"/>
        <w:rPr>
          <w:rFonts w:asciiTheme="minorHAnsi" w:eastAsia="Times New Roman" w:hAnsiTheme="minorHAnsi" w:cs="Times New Roman"/>
          <w:color w:val="002060"/>
        </w:rPr>
      </w:pPr>
    </w:p>
    <w:p w14:paraId="54FC758A" w14:textId="61640126" w:rsidR="001A2474" w:rsidRPr="001A2474" w:rsidRDefault="001A2474" w:rsidP="001A2474">
      <w:pPr>
        <w:pStyle w:val="ListParagraph"/>
        <w:widowControl w:val="0"/>
        <w:numPr>
          <w:ilvl w:val="0"/>
          <w:numId w:val="36"/>
        </w:numPr>
        <w:rPr>
          <w:rFonts w:asciiTheme="minorHAnsi" w:eastAsia="Times New Roman" w:hAnsiTheme="minorHAnsi" w:cs="Times New Roman"/>
          <w:color w:val="002060"/>
        </w:rPr>
      </w:pPr>
      <w:r w:rsidRPr="001A2474">
        <w:rPr>
          <w:rFonts w:asciiTheme="minorHAnsi" w:eastAsia="Times New Roman" w:hAnsiTheme="minorHAnsi" w:cs="Times New Roman"/>
          <w:color w:val="002060"/>
        </w:rPr>
        <w:t>OSSE DSE continues to implement the OSSE Support Tool, a web-based application that allows LEAs to send questions and receive support fr</w:t>
      </w:r>
      <w:r w:rsidR="000F4052">
        <w:rPr>
          <w:rFonts w:asciiTheme="minorHAnsi" w:eastAsia="Times New Roman" w:hAnsiTheme="minorHAnsi" w:cs="Times New Roman"/>
          <w:color w:val="002060"/>
        </w:rPr>
        <w:t>om content area experts.  This t</w:t>
      </w:r>
      <w:r w:rsidRPr="001A2474">
        <w:rPr>
          <w:rFonts w:asciiTheme="minorHAnsi" w:eastAsia="Times New Roman" w:hAnsiTheme="minorHAnsi" w:cs="Times New Roman"/>
          <w:color w:val="002060"/>
        </w:rPr>
        <w:t>ool allows DSE to track inquiries, monitor response time, and archive both LEA questions and responses, in order to create Frequently Asked Questions (FAQs) with these data points.</w:t>
      </w:r>
    </w:p>
    <w:p w14:paraId="74361243" w14:textId="77777777" w:rsidR="001A2474" w:rsidRPr="001A2474" w:rsidRDefault="001A2474" w:rsidP="001A2474">
      <w:pPr>
        <w:widowControl w:val="0"/>
        <w:rPr>
          <w:rFonts w:asciiTheme="minorHAnsi" w:eastAsia="Times New Roman" w:hAnsiTheme="minorHAnsi" w:cs="Times New Roman"/>
          <w:color w:val="002060"/>
        </w:rPr>
      </w:pPr>
    </w:p>
    <w:p w14:paraId="0DC8D335" w14:textId="0C04593D" w:rsidR="0030336D" w:rsidRPr="00F22D21" w:rsidRDefault="001A2474" w:rsidP="00F22D21">
      <w:pPr>
        <w:pStyle w:val="ListParagraph"/>
        <w:widowControl w:val="0"/>
        <w:numPr>
          <w:ilvl w:val="0"/>
          <w:numId w:val="36"/>
        </w:numPr>
        <w:rPr>
          <w:rFonts w:asciiTheme="minorHAnsi" w:eastAsia="Times New Roman" w:hAnsiTheme="minorHAnsi" w:cs="Times New Roman"/>
          <w:color w:val="002060"/>
        </w:rPr>
      </w:pPr>
      <w:r w:rsidRPr="001A2474">
        <w:rPr>
          <w:rFonts w:asciiTheme="minorHAnsi" w:eastAsia="Times New Roman" w:hAnsiTheme="minorHAnsi" w:cs="Times New Roman"/>
          <w:color w:val="002060"/>
        </w:rPr>
        <w:t xml:space="preserve">OSSE is coordinating </w:t>
      </w:r>
      <w:proofErr w:type="gramStart"/>
      <w:r w:rsidRPr="001A2474">
        <w:rPr>
          <w:rFonts w:asciiTheme="minorHAnsi" w:eastAsia="Times New Roman" w:hAnsiTheme="minorHAnsi" w:cs="Times New Roman"/>
          <w:color w:val="002060"/>
        </w:rPr>
        <w:t>a Pathways</w:t>
      </w:r>
      <w:proofErr w:type="gramEnd"/>
      <w:r w:rsidRPr="001A2474">
        <w:rPr>
          <w:rFonts w:asciiTheme="minorHAnsi" w:eastAsia="Times New Roman" w:hAnsiTheme="minorHAnsi" w:cs="Times New Roman"/>
          <w:color w:val="002060"/>
        </w:rPr>
        <w:t xml:space="preserve"> to LRE Project with </w:t>
      </w:r>
      <w:proofErr w:type="spellStart"/>
      <w:r w:rsidRPr="001A2474">
        <w:rPr>
          <w:rFonts w:asciiTheme="minorHAnsi" w:eastAsia="Times New Roman" w:hAnsiTheme="minorHAnsi" w:cs="Times New Roman"/>
          <w:color w:val="002060"/>
        </w:rPr>
        <w:t>SchoolTalk</w:t>
      </w:r>
      <w:proofErr w:type="spellEnd"/>
      <w:r w:rsidRPr="001A2474">
        <w:rPr>
          <w:rFonts w:asciiTheme="minorHAnsi" w:eastAsia="Times New Roman" w:hAnsiTheme="minorHAnsi" w:cs="Times New Roman"/>
          <w:color w:val="002060"/>
        </w:rPr>
        <w:t>, Inc. and a wraparound pilot program with DBH to ensure that students transitioning back from nonpublic p</w:t>
      </w:r>
      <w:r w:rsidR="00FE71CE">
        <w:rPr>
          <w:rFonts w:asciiTheme="minorHAnsi" w:eastAsia="Times New Roman" w:hAnsiTheme="minorHAnsi" w:cs="Times New Roman"/>
          <w:color w:val="002060"/>
        </w:rPr>
        <w:t>rograms in SY14-15</w:t>
      </w:r>
      <w:r w:rsidRPr="001A2474">
        <w:rPr>
          <w:rFonts w:asciiTheme="minorHAnsi" w:eastAsia="Times New Roman" w:hAnsiTheme="minorHAnsi" w:cs="Times New Roman"/>
          <w:color w:val="002060"/>
        </w:rPr>
        <w:t xml:space="preserve"> are ready to return and well supported.  </w:t>
      </w:r>
    </w:p>
    <w:p w14:paraId="6C044446" w14:textId="77777777" w:rsidR="0030336D" w:rsidRDefault="0030336D" w:rsidP="00810089">
      <w:pPr>
        <w:ind w:left="360"/>
        <w:jc w:val="both"/>
        <w:rPr>
          <w:rFonts w:asciiTheme="minorHAnsi" w:hAnsiTheme="minorHAnsi" w:cs="Times New Roman"/>
          <w:color w:val="002060"/>
        </w:rPr>
      </w:pPr>
    </w:p>
    <w:p w14:paraId="6F0D9884" w14:textId="418D7D14" w:rsidR="00744BFA" w:rsidRPr="0082349F" w:rsidRDefault="00744BFA" w:rsidP="00810089">
      <w:pPr>
        <w:ind w:left="360"/>
        <w:jc w:val="both"/>
        <w:rPr>
          <w:rFonts w:asciiTheme="minorHAnsi" w:hAnsiTheme="minorHAnsi" w:cs="Times New Roman"/>
          <w:color w:val="002060"/>
        </w:rPr>
      </w:pPr>
      <w:r w:rsidRPr="0082349F">
        <w:rPr>
          <w:rFonts w:asciiTheme="minorHAnsi" w:hAnsiTheme="minorHAnsi" w:cs="Times New Roman"/>
          <w:color w:val="002060"/>
        </w:rPr>
        <w:t>This work includes the work of the Tra</w:t>
      </w:r>
      <w:r w:rsidR="003276E9" w:rsidRPr="0082349F">
        <w:rPr>
          <w:rFonts w:asciiTheme="minorHAnsi" w:hAnsiTheme="minorHAnsi" w:cs="Times New Roman"/>
          <w:color w:val="002060"/>
        </w:rPr>
        <w:t>ining and Technical Assistance T</w:t>
      </w:r>
      <w:r w:rsidRPr="0082349F">
        <w:rPr>
          <w:rFonts w:asciiTheme="minorHAnsi" w:hAnsiTheme="minorHAnsi" w:cs="Times New Roman"/>
          <w:color w:val="002060"/>
        </w:rPr>
        <w:t>eam, the Policy Team, the Monitoring</w:t>
      </w:r>
      <w:r w:rsidR="003276E9" w:rsidRPr="0082349F">
        <w:rPr>
          <w:rFonts w:asciiTheme="minorHAnsi" w:hAnsiTheme="minorHAnsi" w:cs="Times New Roman"/>
          <w:color w:val="002060"/>
        </w:rPr>
        <w:t xml:space="preserve"> and Compliance Team, the Data T</w:t>
      </w:r>
      <w:r w:rsidRPr="0082349F">
        <w:rPr>
          <w:rFonts w:asciiTheme="minorHAnsi" w:hAnsiTheme="minorHAnsi" w:cs="Times New Roman"/>
          <w:color w:val="002060"/>
        </w:rPr>
        <w:t>eam, and the Placement Oversight Team.</w:t>
      </w:r>
    </w:p>
    <w:p w14:paraId="77A0EBB2" w14:textId="77777777" w:rsidR="004464EE" w:rsidRPr="00A40AFD" w:rsidRDefault="004464EE" w:rsidP="00A40AFD">
      <w:pPr>
        <w:rPr>
          <w:rFonts w:ascii="Times New Roman" w:hAnsi="Times New Roman" w:cs="Times New Roman"/>
          <w:sz w:val="24"/>
          <w:szCs w:val="24"/>
        </w:rPr>
      </w:pPr>
    </w:p>
    <w:p w14:paraId="737F13A8" w14:textId="77777777" w:rsidR="004464EE" w:rsidRDefault="004464EE" w:rsidP="004464EE">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Please provide a narrative explanation of how OSSE projected the number of at-risk students for the purpose of allocating funds based on the Uniform Per Student Funding Formula (UPSFF).  Please include the projected number of at-risk students for each public school and each LEA in FY15 (i.e. LEA, school name, projected number of at risk students in FY15).</w:t>
      </w:r>
    </w:p>
    <w:p w14:paraId="6D2207F1" w14:textId="77777777" w:rsidR="004464EE" w:rsidRDefault="004464EE" w:rsidP="004464EE">
      <w:pPr>
        <w:pStyle w:val="ListParagraph"/>
        <w:ind w:left="360"/>
        <w:rPr>
          <w:rFonts w:ascii="Times New Roman" w:hAnsi="Times New Roman" w:cs="Times New Roman"/>
          <w:sz w:val="24"/>
          <w:szCs w:val="24"/>
        </w:rPr>
      </w:pPr>
    </w:p>
    <w:p w14:paraId="4D97A8C1" w14:textId="77777777" w:rsidR="007D0693" w:rsidRPr="00E64591" w:rsidRDefault="007D0693" w:rsidP="007D0693">
      <w:pPr>
        <w:ind w:left="360"/>
        <w:jc w:val="both"/>
        <w:rPr>
          <w:rFonts w:asciiTheme="minorHAnsi" w:hAnsiTheme="minorHAnsi" w:cs="Times New Roman"/>
          <w:color w:val="002060"/>
        </w:rPr>
      </w:pPr>
      <w:r w:rsidRPr="00E64591">
        <w:rPr>
          <w:rFonts w:asciiTheme="minorHAnsi" w:hAnsiTheme="minorHAnsi" w:cs="Times New Roman"/>
          <w:color w:val="002060"/>
        </w:rPr>
        <w:t>OSSE gathered current data on the number of students across all categories that qualify for at risk funding, compared it to total number of at risk students, and projected that proportio</w:t>
      </w:r>
      <w:r w:rsidR="00542328">
        <w:rPr>
          <w:rFonts w:asciiTheme="minorHAnsi" w:hAnsiTheme="minorHAnsi" w:cs="Times New Roman"/>
          <w:color w:val="002060"/>
        </w:rPr>
        <w:t>n forward for the SY14-15</w:t>
      </w:r>
      <w:r w:rsidRPr="00E64591">
        <w:rPr>
          <w:rFonts w:asciiTheme="minorHAnsi" w:hAnsiTheme="minorHAnsi" w:cs="Times New Roman"/>
          <w:color w:val="002060"/>
        </w:rPr>
        <w:t xml:space="preserve"> projected ge</w:t>
      </w:r>
      <w:r w:rsidR="00DD5A0F" w:rsidRPr="00E64591">
        <w:rPr>
          <w:rFonts w:asciiTheme="minorHAnsi" w:hAnsiTheme="minorHAnsi" w:cs="Times New Roman"/>
          <w:color w:val="002060"/>
        </w:rPr>
        <w:t>neral enrollment.  For example,</w:t>
      </w:r>
      <w:r w:rsidRPr="00E64591">
        <w:rPr>
          <w:rFonts w:asciiTheme="minorHAnsi" w:hAnsiTheme="minorHAnsi" w:cs="Times New Roman"/>
          <w:color w:val="002060"/>
        </w:rPr>
        <w:t xml:space="preserve"> if an LEA would have qualified for 50% at risk funding in FY14</w:t>
      </w:r>
      <w:r w:rsidR="00DD5A0F" w:rsidRPr="00E64591">
        <w:rPr>
          <w:rFonts w:asciiTheme="minorHAnsi" w:hAnsiTheme="minorHAnsi" w:cs="Times New Roman"/>
          <w:color w:val="002060"/>
        </w:rPr>
        <w:t>,</w:t>
      </w:r>
      <w:r w:rsidRPr="00E64591">
        <w:rPr>
          <w:rFonts w:asciiTheme="minorHAnsi" w:hAnsiTheme="minorHAnsi" w:cs="Times New Roman"/>
          <w:color w:val="002060"/>
        </w:rPr>
        <w:t xml:space="preserve"> we projected that 50% of their students in FY15 would also qualify as at risk.</w:t>
      </w:r>
    </w:p>
    <w:p w14:paraId="4E31C5DC" w14:textId="77777777" w:rsidR="009C0DE3" w:rsidRPr="00E64591" w:rsidRDefault="009C0DE3" w:rsidP="004464EE">
      <w:pPr>
        <w:pStyle w:val="ListParagraph"/>
        <w:ind w:left="360"/>
        <w:rPr>
          <w:rFonts w:asciiTheme="minorHAnsi" w:hAnsiTheme="minorHAnsi" w:cs="Times New Roman"/>
        </w:rPr>
      </w:pPr>
    </w:p>
    <w:p w14:paraId="66806947" w14:textId="0943FA5C" w:rsidR="00963D37" w:rsidRPr="00E64591" w:rsidRDefault="00963D37" w:rsidP="00963D37">
      <w:pPr>
        <w:ind w:left="360"/>
        <w:jc w:val="both"/>
        <w:rPr>
          <w:rFonts w:asciiTheme="minorHAnsi" w:hAnsiTheme="minorHAnsi" w:cs="Times New Roman"/>
          <w:color w:val="002060"/>
        </w:rPr>
      </w:pPr>
      <w:r w:rsidRPr="00E64591">
        <w:rPr>
          <w:rFonts w:asciiTheme="minorHAnsi" w:hAnsiTheme="minorHAnsi" w:cs="Times New Roman"/>
          <w:color w:val="002060"/>
        </w:rPr>
        <w:t>With regard to the projected number of at-risk students at each school and LEA, OSSE was only charged with projecting the number of at-risk students at the LEA level.  However, in order to determine the number of at-risk students at the LEA level for DCPS, OSSE did calculate the number at each school level.  Those numbers are provided in Attachment</w:t>
      </w:r>
      <w:r w:rsidR="004929DE">
        <w:rPr>
          <w:rFonts w:asciiTheme="minorHAnsi" w:hAnsiTheme="minorHAnsi" w:cs="Times New Roman"/>
          <w:color w:val="002060"/>
        </w:rPr>
        <w:t xml:space="preserve"> 7</w:t>
      </w:r>
      <w:r w:rsidRPr="00E64591">
        <w:rPr>
          <w:rFonts w:asciiTheme="minorHAnsi" w:hAnsiTheme="minorHAnsi" w:cs="Times New Roman"/>
          <w:color w:val="002060"/>
        </w:rPr>
        <w:t>.   For charters, OSSE only calculated the at-risk weight at the LEA level.  The at-risk percentage for each charter LEA can</w:t>
      </w:r>
      <w:r w:rsidR="004929DE">
        <w:rPr>
          <w:rFonts w:asciiTheme="minorHAnsi" w:hAnsiTheme="minorHAnsi" w:cs="Times New Roman"/>
          <w:color w:val="002060"/>
        </w:rPr>
        <w:t xml:space="preserve"> be found in Attachment 8</w:t>
      </w:r>
      <w:r w:rsidRPr="00E64591">
        <w:rPr>
          <w:rFonts w:asciiTheme="minorHAnsi" w:hAnsiTheme="minorHAnsi" w:cs="Times New Roman"/>
          <w:color w:val="002060"/>
        </w:rPr>
        <w:t>.</w:t>
      </w:r>
    </w:p>
    <w:p w14:paraId="6753B942" w14:textId="77777777" w:rsidR="009C0DE3" w:rsidRDefault="009C0DE3" w:rsidP="004464EE">
      <w:pPr>
        <w:pStyle w:val="ListParagraph"/>
        <w:ind w:left="360"/>
        <w:rPr>
          <w:rFonts w:ascii="Times New Roman" w:hAnsi="Times New Roman" w:cs="Times New Roman"/>
          <w:sz w:val="24"/>
          <w:szCs w:val="24"/>
        </w:rPr>
      </w:pPr>
    </w:p>
    <w:p w14:paraId="7FC638B5" w14:textId="5FFC0F46" w:rsidR="001631DC" w:rsidRDefault="004464EE" w:rsidP="00CC22BA">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Please describe any other programmatic expansions, mayoral initiatives or anticipated reductions for FY15.  Please provide a breakdown by program and provide a detailed description, including FY15 spending plans, the target population to be served, and the name and title of the OSSE employee responsible for the initiative. </w:t>
      </w:r>
    </w:p>
    <w:p w14:paraId="63E2C818" w14:textId="77777777" w:rsidR="00CC22BA" w:rsidRPr="00CC22BA" w:rsidRDefault="00CC22BA" w:rsidP="00CC22BA">
      <w:pPr>
        <w:pStyle w:val="ListParagraph"/>
        <w:ind w:left="360"/>
        <w:rPr>
          <w:rFonts w:ascii="Times New Roman" w:hAnsi="Times New Roman" w:cs="Times New Roman"/>
          <w:sz w:val="24"/>
          <w:szCs w:val="24"/>
        </w:rPr>
      </w:pPr>
    </w:p>
    <w:p w14:paraId="727A8178" w14:textId="77777777" w:rsidR="0041673C" w:rsidRDefault="0041673C" w:rsidP="00F15C0A">
      <w:pPr>
        <w:pStyle w:val="ListParagraph"/>
        <w:numPr>
          <w:ilvl w:val="0"/>
          <w:numId w:val="24"/>
        </w:numPr>
        <w:spacing w:after="200" w:line="276" w:lineRule="auto"/>
        <w:rPr>
          <w:rFonts w:asciiTheme="minorHAnsi" w:hAnsiTheme="minorHAnsi" w:cs="Times New Roman"/>
          <w:b/>
          <w:color w:val="002060"/>
        </w:rPr>
      </w:pPr>
      <w:r>
        <w:rPr>
          <w:rFonts w:asciiTheme="minorHAnsi" w:hAnsiTheme="minorHAnsi" w:cs="Times New Roman"/>
          <w:b/>
          <w:color w:val="002060"/>
        </w:rPr>
        <w:t>Expansion of Infant</w:t>
      </w:r>
      <w:r w:rsidR="00B55CA5">
        <w:rPr>
          <w:rFonts w:asciiTheme="minorHAnsi" w:hAnsiTheme="minorHAnsi" w:cs="Times New Roman"/>
          <w:b/>
          <w:color w:val="002060"/>
        </w:rPr>
        <w:t xml:space="preserve"> and Toddler Childcare Slots</w:t>
      </w:r>
    </w:p>
    <w:p w14:paraId="60C5D366" w14:textId="19C4B3DF" w:rsidR="006B1297" w:rsidRPr="00591F89" w:rsidRDefault="00675E81" w:rsidP="00591F89">
      <w:pPr>
        <w:ind w:left="720"/>
        <w:jc w:val="both"/>
        <w:rPr>
          <w:color w:val="002060"/>
        </w:rPr>
      </w:pPr>
      <w:r w:rsidRPr="00591F89">
        <w:rPr>
          <w:rFonts w:asciiTheme="minorHAnsi" w:hAnsiTheme="minorHAnsi" w:cs="Times New Roman"/>
          <w:color w:val="002060"/>
        </w:rPr>
        <w:t>In line with OSSE’s FY14 commitment to expansion</w:t>
      </w:r>
      <w:r w:rsidR="00591F89" w:rsidRPr="00591F89">
        <w:rPr>
          <w:rFonts w:asciiTheme="minorHAnsi" w:hAnsiTheme="minorHAnsi" w:cs="Times New Roman"/>
          <w:color w:val="002060"/>
        </w:rPr>
        <w:t xml:space="preserve"> of</w:t>
      </w:r>
      <w:r w:rsidRPr="00591F89">
        <w:rPr>
          <w:rFonts w:asciiTheme="minorHAnsi" w:hAnsiTheme="minorHAnsi" w:cs="Times New Roman"/>
          <w:color w:val="002060"/>
        </w:rPr>
        <w:t xml:space="preserve"> infant and toddler childcare slots, </w:t>
      </w:r>
      <w:r w:rsidR="00591F89" w:rsidRPr="00591F89">
        <w:rPr>
          <w:color w:val="002060"/>
        </w:rPr>
        <w:t>the Division of Early Learning (DEL) will</w:t>
      </w:r>
      <w:r w:rsidRPr="00591F89">
        <w:rPr>
          <w:color w:val="002060"/>
        </w:rPr>
        <w:t xml:space="preserve"> release a $3</w:t>
      </w:r>
      <w:r w:rsidR="00591F89" w:rsidRPr="00591F89">
        <w:rPr>
          <w:color w:val="002060"/>
        </w:rPr>
        <w:t xml:space="preserve">.0 </w:t>
      </w:r>
      <w:r w:rsidRPr="00591F89">
        <w:rPr>
          <w:color w:val="002060"/>
        </w:rPr>
        <w:t>million Infant and Toddler Facilities Improvement Expansion grant</w:t>
      </w:r>
      <w:r w:rsidR="00BE6570">
        <w:rPr>
          <w:color w:val="002060"/>
        </w:rPr>
        <w:t xml:space="preserve"> in FY15</w:t>
      </w:r>
      <w:r w:rsidRPr="00591F89">
        <w:rPr>
          <w:color w:val="002060"/>
        </w:rPr>
        <w:t xml:space="preserve"> to create additional new slots</w:t>
      </w:r>
      <w:r w:rsidR="00591F89" w:rsidRPr="00591F89">
        <w:rPr>
          <w:color w:val="002060"/>
        </w:rPr>
        <w:t xml:space="preserve">. </w:t>
      </w:r>
      <w:r w:rsidRPr="00591F89">
        <w:rPr>
          <w:color w:val="002060"/>
        </w:rPr>
        <w:t>Walter Lundy, Associate Director, will lead this effort.</w:t>
      </w:r>
    </w:p>
    <w:p w14:paraId="204BE52B" w14:textId="77777777" w:rsidR="00591F89" w:rsidRPr="00591F89" w:rsidRDefault="00591F89" w:rsidP="00591F89">
      <w:pPr>
        <w:ind w:left="720"/>
        <w:jc w:val="both"/>
      </w:pPr>
    </w:p>
    <w:p w14:paraId="1AA378CB" w14:textId="77777777" w:rsidR="00C14CA2" w:rsidRDefault="00C14CA2" w:rsidP="00F15C0A">
      <w:pPr>
        <w:pStyle w:val="ListParagraph"/>
        <w:numPr>
          <w:ilvl w:val="0"/>
          <w:numId w:val="24"/>
        </w:numPr>
        <w:spacing w:after="200" w:line="276" w:lineRule="auto"/>
        <w:rPr>
          <w:rFonts w:asciiTheme="minorHAnsi" w:hAnsiTheme="minorHAnsi" w:cs="Times New Roman"/>
          <w:b/>
          <w:color w:val="002060"/>
        </w:rPr>
      </w:pPr>
      <w:r>
        <w:rPr>
          <w:rFonts w:asciiTheme="minorHAnsi" w:hAnsiTheme="minorHAnsi" w:cs="Times New Roman"/>
          <w:b/>
          <w:color w:val="002060"/>
        </w:rPr>
        <w:t>Infant and Toddler Conference</w:t>
      </w:r>
    </w:p>
    <w:p w14:paraId="0C5DB2E1" w14:textId="77777777" w:rsidR="00C14CA2" w:rsidRDefault="00C14CA2" w:rsidP="00C14CA2">
      <w:pPr>
        <w:pStyle w:val="ListParagraph"/>
        <w:spacing w:after="200" w:line="276" w:lineRule="auto"/>
        <w:rPr>
          <w:rFonts w:asciiTheme="minorHAnsi" w:hAnsiTheme="minorHAnsi" w:cs="Times New Roman"/>
          <w:b/>
          <w:color w:val="002060"/>
        </w:rPr>
      </w:pPr>
    </w:p>
    <w:p w14:paraId="01A41EE2" w14:textId="1EEA0971" w:rsidR="00C14CA2" w:rsidRPr="00392692" w:rsidRDefault="00BE6570" w:rsidP="00543286">
      <w:pPr>
        <w:pStyle w:val="ListParagraph"/>
        <w:jc w:val="both"/>
        <w:rPr>
          <w:color w:val="002060"/>
        </w:rPr>
      </w:pPr>
      <w:r>
        <w:rPr>
          <w:rFonts w:asciiTheme="minorHAnsi" w:hAnsiTheme="minorHAnsi" w:cs="Times New Roman"/>
          <w:color w:val="002060"/>
        </w:rPr>
        <w:t>In FY</w:t>
      </w:r>
      <w:r w:rsidR="00392692">
        <w:rPr>
          <w:rFonts w:asciiTheme="minorHAnsi" w:hAnsiTheme="minorHAnsi" w:cs="Times New Roman"/>
          <w:color w:val="002060"/>
        </w:rPr>
        <w:t>1</w:t>
      </w:r>
      <w:r>
        <w:rPr>
          <w:rFonts w:asciiTheme="minorHAnsi" w:hAnsiTheme="minorHAnsi" w:cs="Times New Roman"/>
          <w:color w:val="002060"/>
        </w:rPr>
        <w:t xml:space="preserve">4, DEL initiated a </w:t>
      </w:r>
      <w:r w:rsidR="00543286">
        <w:rPr>
          <w:rFonts w:asciiTheme="minorHAnsi" w:hAnsiTheme="minorHAnsi" w:cs="Times New Roman"/>
          <w:color w:val="002060"/>
        </w:rPr>
        <w:t xml:space="preserve">professional conference for infant and toddler providers and partners.  Our pan is to continue to provide and expand this conference on an annual basis.  </w:t>
      </w:r>
      <w:r w:rsidR="00675E81">
        <w:rPr>
          <w:rFonts w:asciiTheme="minorHAnsi" w:hAnsiTheme="minorHAnsi" w:cs="Times New Roman"/>
          <w:color w:val="002060"/>
        </w:rPr>
        <w:t>DEL</w:t>
      </w:r>
      <w:r w:rsidR="002D7B1B" w:rsidRPr="0041673C">
        <w:rPr>
          <w:rFonts w:asciiTheme="minorHAnsi" w:hAnsiTheme="minorHAnsi" w:cs="Times New Roman"/>
          <w:color w:val="002060"/>
        </w:rPr>
        <w:t xml:space="preserve"> </w:t>
      </w:r>
      <w:r w:rsidR="002D7B1B" w:rsidRPr="0041673C">
        <w:rPr>
          <w:color w:val="002060"/>
        </w:rPr>
        <w:t>intends to expand the 2nd Annual Infant and Toddler Conference to accommodate 2,000 attendees</w:t>
      </w:r>
      <w:r w:rsidR="00543286">
        <w:rPr>
          <w:color w:val="002060"/>
        </w:rPr>
        <w:t xml:space="preserve">, up from this year’s attendance of 1,000.  </w:t>
      </w:r>
      <w:r w:rsidR="002D7B1B" w:rsidRPr="00392692">
        <w:rPr>
          <w:color w:val="002060"/>
        </w:rPr>
        <w:t xml:space="preserve">The target population </w:t>
      </w:r>
      <w:r w:rsidR="00543286">
        <w:rPr>
          <w:color w:val="002060"/>
        </w:rPr>
        <w:t>is</w:t>
      </w:r>
      <w:r w:rsidR="002D7B1B" w:rsidRPr="00392692">
        <w:rPr>
          <w:color w:val="002060"/>
        </w:rPr>
        <w:t xml:space="preserve"> the</w:t>
      </w:r>
      <w:r w:rsidR="00F028BF" w:rsidRPr="00392692">
        <w:rPr>
          <w:color w:val="002060"/>
        </w:rPr>
        <w:t xml:space="preserve"> District’s </w:t>
      </w:r>
      <w:r w:rsidR="002D7B1B" w:rsidRPr="00392692">
        <w:rPr>
          <w:color w:val="002060"/>
        </w:rPr>
        <w:t>infant and toddler workforce</w:t>
      </w:r>
      <w:r w:rsidR="00F028BF" w:rsidRPr="00392692">
        <w:rPr>
          <w:color w:val="002060"/>
        </w:rPr>
        <w:t>,</w:t>
      </w:r>
      <w:r w:rsidR="002D7B1B" w:rsidRPr="00392692">
        <w:rPr>
          <w:color w:val="002060"/>
        </w:rPr>
        <w:t xml:space="preserve"> as OSSE will b</w:t>
      </w:r>
      <w:r w:rsidR="00F028BF" w:rsidRPr="00392692">
        <w:rPr>
          <w:color w:val="002060"/>
        </w:rPr>
        <w:t>e implementing phase two of capacity building for</w:t>
      </w:r>
      <w:r w:rsidR="002D7B1B" w:rsidRPr="00392692">
        <w:rPr>
          <w:color w:val="002060"/>
        </w:rPr>
        <w:t xml:space="preserve"> this growing workforce.  Walter Lundy, Associate Director, and Julie </w:t>
      </w:r>
      <w:proofErr w:type="spellStart"/>
      <w:r w:rsidR="002D7B1B" w:rsidRPr="00392692">
        <w:rPr>
          <w:color w:val="002060"/>
        </w:rPr>
        <w:t>Wennekes</w:t>
      </w:r>
      <w:proofErr w:type="spellEnd"/>
      <w:r w:rsidR="002D7B1B" w:rsidRPr="00392692">
        <w:rPr>
          <w:color w:val="002060"/>
        </w:rPr>
        <w:t>, Supervisor for Professional Development</w:t>
      </w:r>
      <w:r w:rsidR="0082485F" w:rsidRPr="00392692">
        <w:rPr>
          <w:color w:val="002060"/>
        </w:rPr>
        <w:t>,</w:t>
      </w:r>
      <w:r w:rsidR="002D7B1B" w:rsidRPr="00392692">
        <w:rPr>
          <w:color w:val="002060"/>
        </w:rPr>
        <w:t xml:space="preserve"> </w:t>
      </w:r>
      <w:r w:rsidR="0082485F" w:rsidRPr="00392692">
        <w:rPr>
          <w:color w:val="002060"/>
        </w:rPr>
        <w:t>will lead this effort</w:t>
      </w:r>
      <w:r w:rsidR="0082485F">
        <w:t>.</w:t>
      </w:r>
    </w:p>
    <w:p w14:paraId="10417FF9" w14:textId="77777777" w:rsidR="00C14CA2" w:rsidRDefault="00C14CA2" w:rsidP="00C14CA2">
      <w:pPr>
        <w:pStyle w:val="ListParagraph"/>
        <w:spacing w:after="200" w:line="276" w:lineRule="auto"/>
        <w:rPr>
          <w:rFonts w:asciiTheme="minorHAnsi" w:hAnsiTheme="minorHAnsi" w:cs="Times New Roman"/>
          <w:b/>
          <w:color w:val="002060"/>
        </w:rPr>
      </w:pPr>
    </w:p>
    <w:p w14:paraId="3BD72BF4" w14:textId="77777777" w:rsidR="00F15C0A" w:rsidRPr="00461ADB" w:rsidRDefault="00F15C0A" w:rsidP="00F15C0A">
      <w:pPr>
        <w:pStyle w:val="ListParagraph"/>
        <w:numPr>
          <w:ilvl w:val="0"/>
          <w:numId w:val="24"/>
        </w:numPr>
        <w:spacing w:after="200" w:line="276" w:lineRule="auto"/>
        <w:rPr>
          <w:rFonts w:asciiTheme="minorHAnsi" w:hAnsiTheme="minorHAnsi" w:cs="Times New Roman"/>
          <w:b/>
          <w:color w:val="002060"/>
        </w:rPr>
      </w:pPr>
      <w:r w:rsidRPr="00461ADB">
        <w:rPr>
          <w:rFonts w:asciiTheme="minorHAnsi" w:hAnsiTheme="minorHAnsi" w:cs="Times New Roman"/>
          <w:b/>
          <w:color w:val="002060"/>
        </w:rPr>
        <w:t>CTE Innovation Fund – Career Academies</w:t>
      </w:r>
    </w:p>
    <w:p w14:paraId="48BE1355" w14:textId="77777777" w:rsidR="00F15C0A" w:rsidRPr="00461ADB" w:rsidRDefault="00F15C0A" w:rsidP="00750DAD">
      <w:pPr>
        <w:pStyle w:val="ListParagraph"/>
        <w:rPr>
          <w:rFonts w:asciiTheme="minorHAnsi" w:hAnsiTheme="minorHAnsi" w:cs="Times New Roman"/>
          <w:color w:val="002060"/>
        </w:rPr>
      </w:pPr>
    </w:p>
    <w:p w14:paraId="3EF88463" w14:textId="77777777" w:rsidR="00F15C0A" w:rsidRPr="00461ADB" w:rsidRDefault="00E92472" w:rsidP="006A7449">
      <w:pPr>
        <w:ind w:left="720"/>
        <w:jc w:val="both"/>
        <w:rPr>
          <w:rFonts w:asciiTheme="minorHAnsi" w:hAnsiTheme="minorHAnsi" w:cs="Times New Roman"/>
          <w:color w:val="002060"/>
        </w:rPr>
      </w:pPr>
      <w:r w:rsidRPr="00461ADB">
        <w:rPr>
          <w:rFonts w:asciiTheme="minorHAnsi" w:hAnsiTheme="minorHAnsi" w:cs="Times New Roman"/>
          <w:color w:val="002060"/>
        </w:rPr>
        <w:t>In FY 14, the C</w:t>
      </w:r>
      <w:r w:rsidR="00F15C0A" w:rsidRPr="00461ADB">
        <w:rPr>
          <w:rFonts w:asciiTheme="minorHAnsi" w:hAnsiTheme="minorHAnsi" w:cs="Times New Roman"/>
          <w:color w:val="002060"/>
        </w:rPr>
        <w:t xml:space="preserve">ouncil approved a strategic plan for Career and Technical Education (CTE) in </w:t>
      </w:r>
      <w:r w:rsidR="006A7449" w:rsidRPr="00461ADB">
        <w:rPr>
          <w:rFonts w:asciiTheme="minorHAnsi" w:hAnsiTheme="minorHAnsi" w:cs="Times New Roman"/>
          <w:color w:val="002060"/>
        </w:rPr>
        <w:t xml:space="preserve">the </w:t>
      </w:r>
      <w:r w:rsidR="00F15C0A" w:rsidRPr="00461ADB">
        <w:rPr>
          <w:rFonts w:asciiTheme="minorHAnsi" w:hAnsiTheme="minorHAnsi" w:cs="Times New Roman"/>
          <w:color w:val="002060"/>
        </w:rPr>
        <w:t>District of Columbia</w:t>
      </w:r>
      <w:r w:rsidR="007916F9">
        <w:rPr>
          <w:rFonts w:asciiTheme="minorHAnsi" w:hAnsiTheme="minorHAnsi" w:cs="Times New Roman"/>
          <w:color w:val="002060"/>
        </w:rPr>
        <w:t>.  This resulted in</w:t>
      </w:r>
      <w:r w:rsidR="00F15C0A" w:rsidRPr="00461ADB">
        <w:rPr>
          <w:rFonts w:asciiTheme="minorHAnsi" w:hAnsiTheme="minorHAnsi" w:cs="Times New Roman"/>
          <w:color w:val="002060"/>
        </w:rPr>
        <w:t xml:space="preserve"> funding for six Career Academies, a CTE Certification Fund (to provide full or subsidized payments to District residents for certification exams), and financial support to</w:t>
      </w:r>
      <w:r w:rsidR="003F545C">
        <w:rPr>
          <w:rFonts w:asciiTheme="minorHAnsi" w:hAnsiTheme="minorHAnsi" w:cs="Times New Roman"/>
          <w:color w:val="002060"/>
        </w:rPr>
        <w:t xml:space="preserve"> UDC-CC for CTE initiatives.  During FY14, </w:t>
      </w:r>
      <w:r w:rsidR="00F15C0A" w:rsidRPr="00461ADB">
        <w:rPr>
          <w:rFonts w:asciiTheme="minorHAnsi" w:hAnsiTheme="minorHAnsi" w:cs="Times New Roman"/>
          <w:color w:val="002060"/>
        </w:rPr>
        <w:t>OSSE launched n</w:t>
      </w:r>
      <w:r w:rsidR="009C4086">
        <w:rPr>
          <w:rFonts w:asciiTheme="minorHAnsi" w:hAnsiTheme="minorHAnsi" w:cs="Times New Roman"/>
          <w:color w:val="002060"/>
        </w:rPr>
        <w:t>ine academ</w:t>
      </w:r>
      <w:r w:rsidR="007916F9">
        <w:rPr>
          <w:rFonts w:asciiTheme="minorHAnsi" w:hAnsiTheme="minorHAnsi" w:cs="Times New Roman"/>
          <w:color w:val="002060"/>
        </w:rPr>
        <w:t>ies in eight schools, with the a</w:t>
      </w:r>
      <w:r w:rsidR="009C4086">
        <w:rPr>
          <w:rFonts w:asciiTheme="minorHAnsi" w:hAnsiTheme="minorHAnsi" w:cs="Times New Roman"/>
          <w:color w:val="002060"/>
        </w:rPr>
        <w:t>cademies</w:t>
      </w:r>
      <w:r w:rsidR="00F15C0A" w:rsidRPr="00461ADB">
        <w:rPr>
          <w:rFonts w:asciiTheme="minorHAnsi" w:hAnsiTheme="minorHAnsi" w:cs="Times New Roman"/>
          <w:color w:val="002060"/>
        </w:rPr>
        <w:t xml:space="preserve"> currently in a year of planning. </w:t>
      </w:r>
      <w:r w:rsidR="007916F9">
        <w:rPr>
          <w:rFonts w:asciiTheme="minorHAnsi" w:hAnsiTheme="minorHAnsi" w:cs="Times New Roman"/>
          <w:color w:val="002060"/>
        </w:rPr>
        <w:t xml:space="preserve"> </w:t>
      </w:r>
      <w:r w:rsidR="00F15C0A" w:rsidRPr="00461ADB">
        <w:rPr>
          <w:rFonts w:asciiTheme="minorHAnsi" w:hAnsiTheme="minorHAnsi" w:cs="Times New Roman"/>
          <w:color w:val="002060"/>
        </w:rPr>
        <w:t>The certification fund will be distributed to LEAs and the Community College to support certification exam costs in May 2014. The Community College has</w:t>
      </w:r>
      <w:r w:rsidR="000E1600">
        <w:rPr>
          <w:rFonts w:asciiTheme="minorHAnsi" w:hAnsiTheme="minorHAnsi" w:cs="Times New Roman"/>
          <w:color w:val="002060"/>
        </w:rPr>
        <w:t xml:space="preserve"> also</w:t>
      </w:r>
      <w:r w:rsidR="00F15C0A" w:rsidRPr="00461ADB">
        <w:rPr>
          <w:rFonts w:asciiTheme="minorHAnsi" w:hAnsiTheme="minorHAnsi" w:cs="Times New Roman"/>
          <w:color w:val="002060"/>
        </w:rPr>
        <w:t xml:space="preserve"> been awarded $250,000 in support of its CTE programming. Each of the current nine Career Academies will enroll an average of 20 to 50 students per cohort beginning in fall 2014. </w:t>
      </w:r>
    </w:p>
    <w:p w14:paraId="5EFBA201" w14:textId="77777777" w:rsidR="00F15C0A" w:rsidRPr="00461ADB" w:rsidRDefault="00F15C0A" w:rsidP="006A7449">
      <w:pPr>
        <w:ind w:left="720"/>
        <w:jc w:val="both"/>
        <w:rPr>
          <w:rFonts w:asciiTheme="minorHAnsi" w:hAnsiTheme="minorHAnsi" w:cs="Times New Roman"/>
          <w:color w:val="002060"/>
        </w:rPr>
      </w:pPr>
    </w:p>
    <w:p w14:paraId="7682EA9C" w14:textId="1B9C6B50" w:rsidR="00F15C0A" w:rsidRPr="00BD5C36" w:rsidRDefault="00F272B0" w:rsidP="00BD5C36">
      <w:pPr>
        <w:ind w:left="720"/>
        <w:jc w:val="both"/>
        <w:rPr>
          <w:rFonts w:asciiTheme="minorHAnsi" w:hAnsiTheme="minorHAnsi" w:cs="Times New Roman"/>
          <w:color w:val="002060"/>
          <w:highlight w:val="yellow"/>
        </w:rPr>
      </w:pPr>
      <w:r w:rsidRPr="00460C6E">
        <w:rPr>
          <w:rFonts w:asciiTheme="minorHAnsi" w:hAnsiTheme="minorHAnsi" w:cs="Times New Roman"/>
          <w:color w:val="002060"/>
        </w:rPr>
        <w:t>In FY2015, the proposed budget inc</w:t>
      </w:r>
      <w:r w:rsidR="0067357D" w:rsidRPr="00460C6E">
        <w:rPr>
          <w:rFonts w:asciiTheme="minorHAnsi" w:hAnsiTheme="minorHAnsi" w:cs="Times New Roman"/>
          <w:color w:val="002060"/>
        </w:rPr>
        <w:t>ludes $880,000 to fund</w:t>
      </w:r>
      <w:r w:rsidR="007916F9" w:rsidRPr="00460C6E">
        <w:rPr>
          <w:rFonts w:asciiTheme="minorHAnsi" w:hAnsiTheme="minorHAnsi" w:cs="Times New Roman"/>
          <w:color w:val="002060"/>
        </w:rPr>
        <w:t xml:space="preserve"> the remaining three academies</w:t>
      </w:r>
      <w:r w:rsidR="00392692">
        <w:rPr>
          <w:rFonts w:asciiTheme="minorHAnsi" w:hAnsiTheme="minorHAnsi" w:cs="Times New Roman"/>
          <w:color w:val="002060"/>
        </w:rPr>
        <w:t>, to bring the total number of academies to nine.  These</w:t>
      </w:r>
      <w:r w:rsidR="00961341" w:rsidRPr="00460C6E">
        <w:rPr>
          <w:rFonts w:asciiTheme="minorHAnsi" w:hAnsiTheme="minorHAnsi" w:cs="Times New Roman"/>
          <w:color w:val="002060"/>
        </w:rPr>
        <w:t xml:space="preserve"> academies</w:t>
      </w:r>
      <w:r w:rsidR="00392692">
        <w:rPr>
          <w:rFonts w:asciiTheme="minorHAnsi" w:hAnsiTheme="minorHAnsi" w:cs="Times New Roman"/>
          <w:color w:val="002060"/>
        </w:rPr>
        <w:t xml:space="preserve"> will focus on</w:t>
      </w:r>
      <w:r w:rsidR="00961341" w:rsidRPr="00460C6E">
        <w:rPr>
          <w:rFonts w:asciiTheme="minorHAnsi" w:hAnsiTheme="minorHAnsi" w:cs="Times New Roman"/>
          <w:color w:val="002060"/>
        </w:rPr>
        <w:t xml:space="preserve"> Engineering, Hospitality and Tourism, or Information Technology.</w:t>
      </w:r>
      <w:r w:rsidR="00392692">
        <w:rPr>
          <w:rFonts w:asciiTheme="minorHAnsi" w:hAnsiTheme="minorHAnsi" w:cs="Times New Roman"/>
          <w:color w:val="002060"/>
        </w:rPr>
        <w:t xml:space="preserve"> </w:t>
      </w:r>
      <w:r w:rsidR="0067357D" w:rsidRPr="00460C6E">
        <w:rPr>
          <w:rFonts w:asciiTheme="minorHAnsi" w:hAnsiTheme="minorHAnsi" w:cs="Times New Roman"/>
          <w:color w:val="002060"/>
        </w:rPr>
        <w:t xml:space="preserve"> </w:t>
      </w:r>
      <w:r w:rsidR="00F15C0A" w:rsidRPr="00461ADB">
        <w:rPr>
          <w:rFonts w:asciiTheme="minorHAnsi" w:hAnsiTheme="minorHAnsi" w:cs="Times New Roman"/>
          <w:color w:val="002060"/>
        </w:rPr>
        <w:t>The total cost for each Academy operation within the initial year or year of planning (YOP) is $335,000, including National Academy Foundation technical support. The total cost of the nine career academies is $</w:t>
      </w:r>
      <w:r w:rsidR="00F15C0A" w:rsidRPr="00460C6E">
        <w:rPr>
          <w:rFonts w:asciiTheme="minorHAnsi" w:hAnsiTheme="minorHAnsi" w:cs="Times New Roman"/>
          <w:color w:val="002060"/>
        </w:rPr>
        <w:t>3,015,000</w:t>
      </w:r>
      <w:r w:rsidR="00BD5C36">
        <w:rPr>
          <w:rFonts w:asciiTheme="minorHAnsi" w:hAnsiTheme="minorHAnsi" w:cs="Times New Roman"/>
          <w:color w:val="002060"/>
        </w:rPr>
        <w:t xml:space="preserve"> in FY14 and will remain constant in FY15.</w:t>
      </w:r>
    </w:p>
    <w:p w14:paraId="176F523E" w14:textId="77777777" w:rsidR="00F15C0A" w:rsidRDefault="00F15C0A" w:rsidP="006A7449">
      <w:pPr>
        <w:ind w:left="720"/>
        <w:jc w:val="both"/>
        <w:rPr>
          <w:rFonts w:asciiTheme="minorHAnsi" w:hAnsiTheme="minorHAnsi" w:cs="Times New Roman"/>
          <w:color w:val="002060"/>
        </w:rPr>
      </w:pPr>
    </w:p>
    <w:p w14:paraId="24B2D9D6" w14:textId="77777777" w:rsidR="00E86CA1" w:rsidRPr="00461ADB" w:rsidRDefault="00460C6E" w:rsidP="00E86CA1">
      <w:pPr>
        <w:ind w:left="720"/>
        <w:jc w:val="both"/>
        <w:rPr>
          <w:rFonts w:asciiTheme="minorHAnsi" w:hAnsiTheme="minorHAnsi" w:cs="Times New Roman"/>
          <w:color w:val="002060"/>
        </w:rPr>
      </w:pPr>
      <w:r>
        <w:rPr>
          <w:rFonts w:asciiTheme="minorHAnsi" w:hAnsiTheme="minorHAnsi" w:cs="Times New Roman"/>
          <w:color w:val="002060"/>
        </w:rPr>
        <w:t>The cost of each academy includes:</w:t>
      </w:r>
    </w:p>
    <w:p w14:paraId="7C5B9AE4" w14:textId="77777777" w:rsidR="00F15C0A" w:rsidRPr="006F05B8" w:rsidRDefault="00F15C0A" w:rsidP="006F05B8">
      <w:pPr>
        <w:pStyle w:val="ListParagraph"/>
        <w:numPr>
          <w:ilvl w:val="1"/>
          <w:numId w:val="33"/>
        </w:numPr>
        <w:jc w:val="both"/>
        <w:rPr>
          <w:rFonts w:asciiTheme="minorHAnsi" w:hAnsiTheme="minorHAnsi" w:cs="Times New Roman"/>
          <w:color w:val="002060"/>
        </w:rPr>
      </w:pPr>
      <w:r w:rsidRPr="006F05B8">
        <w:rPr>
          <w:rFonts w:asciiTheme="minorHAnsi" w:hAnsiTheme="minorHAnsi" w:cs="Times New Roman"/>
          <w:color w:val="002060"/>
        </w:rPr>
        <w:t>$125,000 – salary for academy director</w:t>
      </w:r>
    </w:p>
    <w:p w14:paraId="615206DA" w14:textId="77777777" w:rsidR="00F15C0A" w:rsidRPr="006F05B8" w:rsidRDefault="00F15C0A" w:rsidP="006F05B8">
      <w:pPr>
        <w:pStyle w:val="ListParagraph"/>
        <w:numPr>
          <w:ilvl w:val="1"/>
          <w:numId w:val="33"/>
        </w:numPr>
        <w:jc w:val="both"/>
        <w:rPr>
          <w:rFonts w:asciiTheme="minorHAnsi" w:hAnsiTheme="minorHAnsi" w:cs="Times New Roman"/>
          <w:color w:val="002060"/>
        </w:rPr>
      </w:pPr>
      <w:r w:rsidRPr="006F05B8">
        <w:rPr>
          <w:rFonts w:asciiTheme="minorHAnsi" w:hAnsiTheme="minorHAnsi" w:cs="Times New Roman"/>
          <w:color w:val="002060"/>
        </w:rPr>
        <w:t>$100,000 – salary for college and career coordinator</w:t>
      </w:r>
    </w:p>
    <w:p w14:paraId="22DDB3F0" w14:textId="14E9C5C0" w:rsidR="00F15C0A" w:rsidRPr="006F05B8" w:rsidRDefault="00F15C0A" w:rsidP="006F05B8">
      <w:pPr>
        <w:pStyle w:val="ListParagraph"/>
        <w:numPr>
          <w:ilvl w:val="1"/>
          <w:numId w:val="33"/>
        </w:numPr>
        <w:jc w:val="both"/>
        <w:rPr>
          <w:rFonts w:asciiTheme="minorHAnsi" w:hAnsiTheme="minorHAnsi" w:cs="Times New Roman"/>
          <w:color w:val="002060"/>
        </w:rPr>
      </w:pPr>
      <w:r w:rsidRPr="006F05B8">
        <w:rPr>
          <w:rFonts w:asciiTheme="minorHAnsi" w:hAnsiTheme="minorHAnsi" w:cs="Times New Roman"/>
          <w:color w:val="002060"/>
        </w:rPr>
        <w:t>$85,000  -  academy activities</w:t>
      </w:r>
    </w:p>
    <w:p w14:paraId="2E4CB064" w14:textId="77777777" w:rsidR="00F15C0A" w:rsidRPr="006F05B8" w:rsidRDefault="00F15C0A" w:rsidP="006F05B8">
      <w:pPr>
        <w:pStyle w:val="ListParagraph"/>
        <w:numPr>
          <w:ilvl w:val="1"/>
          <w:numId w:val="33"/>
        </w:numPr>
        <w:jc w:val="both"/>
        <w:rPr>
          <w:rFonts w:asciiTheme="minorHAnsi" w:hAnsiTheme="minorHAnsi" w:cs="Times New Roman"/>
          <w:color w:val="002060"/>
        </w:rPr>
      </w:pPr>
      <w:r w:rsidRPr="006F05B8">
        <w:rPr>
          <w:rFonts w:asciiTheme="minorHAnsi" w:hAnsiTheme="minorHAnsi" w:cs="Times New Roman"/>
          <w:color w:val="002060"/>
        </w:rPr>
        <w:t>$25,000 – NAF Technical Support</w:t>
      </w:r>
    </w:p>
    <w:p w14:paraId="4F17BAA1" w14:textId="77777777" w:rsidR="00F15C0A" w:rsidRPr="00461ADB" w:rsidRDefault="00F15C0A" w:rsidP="006A7449">
      <w:pPr>
        <w:ind w:left="720"/>
        <w:jc w:val="both"/>
        <w:rPr>
          <w:rFonts w:asciiTheme="minorHAnsi" w:hAnsiTheme="minorHAnsi" w:cs="Times New Roman"/>
          <w:color w:val="002060"/>
        </w:rPr>
      </w:pPr>
    </w:p>
    <w:p w14:paraId="5C5F8535" w14:textId="77777777" w:rsidR="00F15C0A" w:rsidRPr="00461ADB" w:rsidRDefault="00F15C0A" w:rsidP="006A7449">
      <w:pPr>
        <w:ind w:left="720"/>
        <w:jc w:val="both"/>
        <w:rPr>
          <w:rFonts w:asciiTheme="minorHAnsi" w:hAnsiTheme="minorHAnsi" w:cs="Times New Roman"/>
          <w:color w:val="002060"/>
        </w:rPr>
      </w:pPr>
      <w:r w:rsidRPr="00461ADB">
        <w:rPr>
          <w:rFonts w:asciiTheme="minorHAnsi" w:hAnsiTheme="minorHAnsi" w:cs="Times New Roman"/>
          <w:color w:val="002060"/>
        </w:rPr>
        <w:t>Simone Garcia, the Director of the CTE Innovation Fund is the OSSE employee responsible for the management of this initiative.</w:t>
      </w:r>
    </w:p>
    <w:p w14:paraId="57863079" w14:textId="77777777" w:rsidR="00F15C0A" w:rsidRPr="00461ADB" w:rsidRDefault="00F15C0A" w:rsidP="00F15C0A">
      <w:pPr>
        <w:pStyle w:val="ListParagraph"/>
        <w:rPr>
          <w:rFonts w:asciiTheme="minorHAnsi" w:hAnsiTheme="minorHAnsi" w:cs="Times New Roman"/>
          <w:b/>
          <w:bCs/>
          <w:color w:val="002060"/>
        </w:rPr>
      </w:pPr>
    </w:p>
    <w:p w14:paraId="51FE7337" w14:textId="77777777" w:rsidR="00CE45B2" w:rsidRDefault="00CE45B2" w:rsidP="00E64591">
      <w:pPr>
        <w:pStyle w:val="ListParagraph"/>
        <w:numPr>
          <w:ilvl w:val="0"/>
          <w:numId w:val="24"/>
        </w:numPr>
        <w:rPr>
          <w:rFonts w:asciiTheme="minorHAnsi" w:hAnsiTheme="minorHAnsi" w:cs="Times New Roman"/>
          <w:b/>
          <w:bCs/>
          <w:color w:val="002060"/>
        </w:rPr>
      </w:pPr>
      <w:r>
        <w:rPr>
          <w:rFonts w:asciiTheme="minorHAnsi" w:hAnsiTheme="minorHAnsi" w:cs="Times New Roman"/>
          <w:b/>
          <w:bCs/>
          <w:color w:val="002060"/>
        </w:rPr>
        <w:t>Free SAT Testing for All District Public School Juniors and Seniors</w:t>
      </w:r>
    </w:p>
    <w:p w14:paraId="2996D5FB" w14:textId="77777777" w:rsidR="00CE45B2" w:rsidRDefault="00CE45B2" w:rsidP="00CE45B2">
      <w:pPr>
        <w:rPr>
          <w:rFonts w:asciiTheme="minorHAnsi" w:hAnsiTheme="minorHAnsi" w:cs="Times New Roman"/>
          <w:b/>
          <w:bCs/>
          <w:color w:val="002060"/>
        </w:rPr>
      </w:pPr>
    </w:p>
    <w:p w14:paraId="1DF35544" w14:textId="0579369E" w:rsidR="003728F9" w:rsidRPr="003728F9" w:rsidRDefault="003728F9" w:rsidP="003728F9">
      <w:pPr>
        <w:ind w:left="720"/>
        <w:jc w:val="both"/>
        <w:rPr>
          <w:color w:val="002060"/>
        </w:rPr>
      </w:pPr>
      <w:r>
        <w:rPr>
          <w:color w:val="002060"/>
        </w:rPr>
        <w:t xml:space="preserve">OSSE introduced </w:t>
      </w:r>
      <w:r w:rsidRPr="003728F9">
        <w:rPr>
          <w:color w:val="002060"/>
        </w:rPr>
        <w:t>SAT Schoo</w:t>
      </w:r>
      <w:r>
        <w:rPr>
          <w:color w:val="002060"/>
        </w:rPr>
        <w:t>l Day</w:t>
      </w:r>
      <w:r w:rsidRPr="003728F9">
        <w:rPr>
          <w:color w:val="002060"/>
        </w:rPr>
        <w:t xml:space="preserve"> in FY14</w:t>
      </w:r>
      <w:r w:rsidR="008E0537">
        <w:rPr>
          <w:color w:val="002060"/>
        </w:rPr>
        <w:t>, providing</w:t>
      </w:r>
      <w:r w:rsidRPr="003728F9">
        <w:rPr>
          <w:color w:val="002060"/>
        </w:rPr>
        <w:t xml:space="preserve"> se</w:t>
      </w:r>
      <w:r w:rsidR="008E0537">
        <w:rPr>
          <w:color w:val="002060"/>
        </w:rPr>
        <w:t xml:space="preserve">niors and juniors </w:t>
      </w:r>
      <w:r w:rsidRPr="003728F9">
        <w:rPr>
          <w:color w:val="002060"/>
        </w:rPr>
        <w:t xml:space="preserve">the opportunity to take the SAT exam during the school day for free.  OSSE covers the cost of all exams and coordinates professional development for teachers and exam proctors.  </w:t>
      </w:r>
      <w:r w:rsidR="008E0537">
        <w:rPr>
          <w:color w:val="002060"/>
        </w:rPr>
        <w:t xml:space="preserve">Additionally, </w:t>
      </w:r>
      <w:r w:rsidRPr="003728F9">
        <w:rPr>
          <w:color w:val="002060"/>
        </w:rPr>
        <w:t>OSSE works directly with schools to ensure the SAT School Day Test Supervisor is ident</w:t>
      </w:r>
      <w:r w:rsidR="001F5713">
        <w:rPr>
          <w:color w:val="002060"/>
        </w:rPr>
        <w:t>ified, to register the school</w:t>
      </w:r>
      <w:r w:rsidRPr="003728F9">
        <w:rPr>
          <w:color w:val="002060"/>
        </w:rPr>
        <w:t xml:space="preserve"> two months prior to the exam</w:t>
      </w:r>
      <w:r w:rsidR="008E0537">
        <w:rPr>
          <w:color w:val="002060"/>
        </w:rPr>
        <w:t>,</w:t>
      </w:r>
      <w:r w:rsidRPr="003728F9">
        <w:rPr>
          <w:color w:val="002060"/>
        </w:rPr>
        <w:t xml:space="preserve"> and provides all administrative support, funding and collaboration with College Board to ensure test day is successful. In FY14, 2,560 seniors took the exam as part of the school day in October 2013 and 2,595 juniors registered to take the exam in February 2014 (numbers show registration only as OSSE has not received the final testing numbers and scores from the College Board).</w:t>
      </w:r>
    </w:p>
    <w:p w14:paraId="1B1AD956" w14:textId="77777777" w:rsidR="003728F9" w:rsidRPr="003728F9" w:rsidRDefault="003728F9" w:rsidP="003728F9">
      <w:pPr>
        <w:ind w:left="720"/>
        <w:jc w:val="both"/>
        <w:rPr>
          <w:color w:val="002060"/>
        </w:rPr>
      </w:pPr>
    </w:p>
    <w:p w14:paraId="1A9BBF39" w14:textId="72A15E9A" w:rsidR="00CE45B2" w:rsidRPr="003728F9" w:rsidRDefault="003A7757" w:rsidP="003A7757">
      <w:pPr>
        <w:ind w:left="720"/>
        <w:jc w:val="both"/>
        <w:rPr>
          <w:color w:val="002060"/>
        </w:rPr>
      </w:pPr>
      <w:r>
        <w:rPr>
          <w:color w:val="002060"/>
        </w:rPr>
        <w:t>Funds to implement this initiative in FY14 were included as one-time funds.  Thus, OSSE has requested $175,000 in FY15</w:t>
      </w:r>
      <w:r w:rsidR="003728F9" w:rsidRPr="003728F9">
        <w:rPr>
          <w:color w:val="002060"/>
        </w:rPr>
        <w:t xml:space="preserve"> to cover the cost of the exams in October 2014 and February 2015. </w:t>
      </w:r>
      <w:r w:rsidR="007942A7">
        <w:rPr>
          <w:color w:val="002060"/>
        </w:rPr>
        <w:t>Such funds cover</w:t>
      </w:r>
      <w:r w:rsidR="003728F9" w:rsidRPr="003728F9">
        <w:rPr>
          <w:color w:val="002060"/>
        </w:rPr>
        <w:t xml:space="preserve"> the individual exam costs, technical assistance and bulk registration assistance from the College Board, school-based SAT staff technical assistance and training</w:t>
      </w:r>
      <w:r w:rsidR="006B35D2">
        <w:rPr>
          <w:color w:val="002060"/>
        </w:rPr>
        <w:t>,</w:t>
      </w:r>
      <w:r w:rsidR="003728F9" w:rsidRPr="003728F9">
        <w:rPr>
          <w:color w:val="002060"/>
        </w:rPr>
        <w:t xml:space="preserve"> as well as reporting and analysis provided by the College Board. </w:t>
      </w:r>
    </w:p>
    <w:p w14:paraId="6403BAA8" w14:textId="77777777" w:rsidR="00CE45B2" w:rsidRPr="00CE45B2" w:rsidRDefault="00CE45B2" w:rsidP="00CE45B2">
      <w:pPr>
        <w:rPr>
          <w:rFonts w:asciiTheme="minorHAnsi" w:hAnsiTheme="minorHAnsi" w:cs="Times New Roman"/>
          <w:b/>
          <w:bCs/>
          <w:color w:val="002060"/>
        </w:rPr>
      </w:pPr>
    </w:p>
    <w:p w14:paraId="7E1CADC6" w14:textId="77777777" w:rsidR="00E64591" w:rsidRPr="00461ADB" w:rsidRDefault="00E64591" w:rsidP="00E64591">
      <w:pPr>
        <w:pStyle w:val="ListParagraph"/>
        <w:numPr>
          <w:ilvl w:val="0"/>
          <w:numId w:val="24"/>
        </w:numPr>
        <w:rPr>
          <w:rFonts w:asciiTheme="minorHAnsi" w:hAnsiTheme="minorHAnsi" w:cs="Times New Roman"/>
          <w:b/>
          <w:bCs/>
          <w:color w:val="002060"/>
        </w:rPr>
      </w:pPr>
      <w:r w:rsidRPr="00461ADB">
        <w:rPr>
          <w:rFonts w:asciiTheme="minorHAnsi" w:hAnsiTheme="minorHAnsi" w:cs="Times New Roman"/>
          <w:b/>
          <w:bCs/>
          <w:color w:val="002060"/>
        </w:rPr>
        <w:t xml:space="preserve">DC Reengagement Center </w:t>
      </w:r>
    </w:p>
    <w:p w14:paraId="2D43709A" w14:textId="77777777" w:rsidR="00E64591" w:rsidRPr="00461ADB" w:rsidRDefault="00E64591" w:rsidP="00E64591">
      <w:pPr>
        <w:rPr>
          <w:rFonts w:asciiTheme="minorHAnsi" w:hAnsiTheme="minorHAnsi" w:cs="Times New Roman"/>
          <w:color w:val="002060"/>
        </w:rPr>
      </w:pPr>
    </w:p>
    <w:p w14:paraId="0F439E89" w14:textId="77777777" w:rsidR="00E64591" w:rsidRPr="00461ADB" w:rsidRDefault="00E64591" w:rsidP="00B64646">
      <w:pPr>
        <w:ind w:left="720"/>
        <w:jc w:val="both"/>
        <w:rPr>
          <w:rFonts w:asciiTheme="minorHAnsi" w:hAnsiTheme="minorHAnsi" w:cs="Times New Roman"/>
          <w:color w:val="002060"/>
        </w:rPr>
      </w:pPr>
      <w:r w:rsidRPr="00461ADB">
        <w:rPr>
          <w:rFonts w:asciiTheme="minorHAnsi" w:hAnsiTheme="minorHAnsi" w:cs="Times New Roman"/>
          <w:color w:val="002060"/>
        </w:rPr>
        <w:t>OSSE’s Division of Adult and Family Education, in collaboration with the Office of the Deputy Mayor for Education (DME), is in the process of launching a citywide youth Re-Engagement Center (REC).  Nationwide, RECs are integral parts of a community’s overall strategy to reconnect out-of-school youth back to educational pathways. The District is establishing a REC to serve as a “single-door” through which out-of-school youth/dropouts can reconnect to educational options and other critical services to support their attainment of a high school diploma or equivalent.  </w:t>
      </w:r>
      <w:r w:rsidR="000E1600">
        <w:rPr>
          <w:rFonts w:asciiTheme="minorHAnsi" w:hAnsiTheme="minorHAnsi" w:cs="Times New Roman"/>
          <w:color w:val="002060"/>
        </w:rPr>
        <w:t xml:space="preserve"> </w:t>
      </w:r>
      <w:r w:rsidRPr="00461ADB">
        <w:rPr>
          <w:rFonts w:asciiTheme="minorHAnsi" w:hAnsiTheme="minorHAnsi" w:cs="Times New Roman"/>
          <w:color w:val="002060"/>
        </w:rPr>
        <w:t>In alignment with nationwide best practices, the REC’s</w:t>
      </w:r>
      <w:r w:rsidR="00B64646" w:rsidRPr="00461ADB">
        <w:rPr>
          <w:rFonts w:asciiTheme="minorHAnsi" w:hAnsiTheme="minorHAnsi" w:cs="Times New Roman"/>
          <w:color w:val="002060"/>
        </w:rPr>
        <w:t xml:space="preserve"> core activities will include: c</w:t>
      </w:r>
      <w:r w:rsidRPr="00461ADB">
        <w:rPr>
          <w:rFonts w:asciiTheme="minorHAnsi" w:hAnsiTheme="minorHAnsi" w:cs="Times New Roman"/>
          <w:color w:val="002060"/>
        </w:rPr>
        <w:t>onducting targeted outreach to a defined list of dropouts (as well as engaging walk-ins and referrals); assessing academic status and non-academic needs of youth and using this information to help them develop individualized education plans; identifying good-fit educational options; supporting the re-enrollment process (e.g. collecting required documents, accompanying youth on site visits, connecting to resources that will</w:t>
      </w:r>
      <w:r w:rsidR="00F67D26" w:rsidRPr="00461ADB">
        <w:rPr>
          <w:rFonts w:asciiTheme="minorHAnsi" w:hAnsiTheme="minorHAnsi" w:cs="Times New Roman"/>
          <w:color w:val="002060"/>
        </w:rPr>
        <w:t xml:space="preserve"> address reconnection barriers);</w:t>
      </w:r>
      <w:r w:rsidRPr="00461ADB">
        <w:rPr>
          <w:rFonts w:asciiTheme="minorHAnsi" w:hAnsiTheme="minorHAnsi" w:cs="Times New Roman"/>
          <w:color w:val="002060"/>
        </w:rPr>
        <w:t xml:space="preserve"> and providing ongoing support for at least one year once re-enrolled.  </w:t>
      </w:r>
    </w:p>
    <w:p w14:paraId="3025B866" w14:textId="77777777" w:rsidR="00E64591" w:rsidRPr="00461ADB" w:rsidRDefault="00E64591" w:rsidP="00B64646">
      <w:pPr>
        <w:ind w:left="720"/>
        <w:jc w:val="both"/>
        <w:rPr>
          <w:rFonts w:asciiTheme="minorHAnsi" w:hAnsiTheme="minorHAnsi" w:cs="Times New Roman"/>
          <w:color w:val="002060"/>
        </w:rPr>
      </w:pPr>
    </w:p>
    <w:p w14:paraId="321FF799" w14:textId="77777777" w:rsidR="00F67D26" w:rsidRPr="00461ADB" w:rsidRDefault="00E64591" w:rsidP="00277C18">
      <w:pPr>
        <w:ind w:left="720"/>
        <w:jc w:val="both"/>
        <w:rPr>
          <w:rFonts w:asciiTheme="minorHAnsi" w:hAnsiTheme="minorHAnsi" w:cs="Times New Roman"/>
          <w:color w:val="002060"/>
        </w:rPr>
      </w:pPr>
      <w:r w:rsidRPr="00461ADB">
        <w:rPr>
          <w:rFonts w:asciiTheme="minorHAnsi" w:hAnsiTheme="minorHAnsi" w:cs="Times New Roman"/>
          <w:color w:val="002060"/>
        </w:rPr>
        <w:t>The REC will focus on District youth between the ages of 16 and 24 who have disconnected from school and have not received a high school diploma or equivalent.  Based on OSSE’s data there are currently over 7,000 youth who fit this description, 90% of these youth are aged 19-24, and 68% live in Wards 5, 7, 8.  </w:t>
      </w:r>
    </w:p>
    <w:p w14:paraId="0F6A7A8F" w14:textId="77777777" w:rsidR="00F67D26" w:rsidRPr="00461ADB" w:rsidRDefault="00F67D26" w:rsidP="00277C18">
      <w:pPr>
        <w:ind w:left="720"/>
        <w:jc w:val="both"/>
        <w:rPr>
          <w:rFonts w:asciiTheme="minorHAnsi" w:hAnsiTheme="minorHAnsi" w:cs="Times New Roman"/>
          <w:color w:val="002060"/>
        </w:rPr>
      </w:pPr>
    </w:p>
    <w:p w14:paraId="02EC687D" w14:textId="77777777" w:rsidR="00E64591" w:rsidRPr="00461ADB" w:rsidRDefault="00E64591" w:rsidP="00277C18">
      <w:pPr>
        <w:ind w:left="720"/>
        <w:jc w:val="both"/>
        <w:rPr>
          <w:rFonts w:asciiTheme="minorHAnsi" w:hAnsiTheme="minorHAnsi" w:cs="Times New Roman"/>
          <w:color w:val="002060"/>
        </w:rPr>
      </w:pPr>
      <w:r w:rsidRPr="00461ADB">
        <w:rPr>
          <w:rFonts w:asciiTheme="minorHAnsi" w:hAnsiTheme="minorHAnsi" w:cs="Times New Roman"/>
          <w:color w:val="002060"/>
        </w:rPr>
        <w:t>The FY 15 budget for this initiative is $372,500 which will cover:</w:t>
      </w:r>
    </w:p>
    <w:p w14:paraId="42714127" w14:textId="77777777" w:rsidR="00E64591" w:rsidRPr="006F05B8" w:rsidRDefault="00E64591" w:rsidP="006F05B8">
      <w:pPr>
        <w:pStyle w:val="ListParagraph"/>
        <w:numPr>
          <w:ilvl w:val="1"/>
          <w:numId w:val="34"/>
        </w:numPr>
        <w:jc w:val="both"/>
        <w:rPr>
          <w:rFonts w:asciiTheme="minorHAnsi" w:hAnsiTheme="minorHAnsi" w:cs="Times New Roman"/>
          <w:color w:val="002060"/>
        </w:rPr>
      </w:pPr>
      <w:r w:rsidRPr="006F05B8">
        <w:rPr>
          <w:rFonts w:asciiTheme="minorHAnsi" w:hAnsiTheme="minorHAnsi" w:cs="Times New Roman"/>
          <w:color w:val="002060"/>
        </w:rPr>
        <w:t>$</w:t>
      </w:r>
      <w:r w:rsidR="000E1600" w:rsidRPr="006F05B8">
        <w:rPr>
          <w:rFonts w:asciiTheme="minorHAnsi" w:hAnsiTheme="minorHAnsi" w:cs="Times New Roman"/>
          <w:color w:val="002060"/>
        </w:rPr>
        <w:t>310,000 for staff and fringe – t</w:t>
      </w:r>
      <w:r w:rsidRPr="006F05B8">
        <w:rPr>
          <w:rFonts w:asciiTheme="minorHAnsi" w:hAnsiTheme="minorHAnsi" w:cs="Times New Roman"/>
          <w:color w:val="002060"/>
        </w:rPr>
        <w:t xml:space="preserve">hree FTEs: one Director and two Re-Engagement Specialists </w:t>
      </w:r>
    </w:p>
    <w:p w14:paraId="0DDD426D" w14:textId="77777777" w:rsidR="00E64591" w:rsidRPr="006F05B8" w:rsidRDefault="00E64591" w:rsidP="006F05B8">
      <w:pPr>
        <w:pStyle w:val="ListParagraph"/>
        <w:numPr>
          <w:ilvl w:val="1"/>
          <w:numId w:val="34"/>
        </w:numPr>
        <w:jc w:val="both"/>
        <w:rPr>
          <w:rFonts w:asciiTheme="minorHAnsi" w:hAnsiTheme="minorHAnsi" w:cs="Times New Roman"/>
          <w:color w:val="002060"/>
        </w:rPr>
      </w:pPr>
      <w:r w:rsidRPr="006F05B8">
        <w:rPr>
          <w:rFonts w:asciiTheme="minorHAnsi" w:hAnsiTheme="minorHAnsi" w:cs="Times New Roman"/>
          <w:color w:val="002060"/>
        </w:rPr>
        <w:t>$25,000 for supplies and materials – printing expenses, media/promotional materials, web presence, office supplies</w:t>
      </w:r>
    </w:p>
    <w:p w14:paraId="7C49FE20" w14:textId="77777777" w:rsidR="00E64591" w:rsidRPr="006F05B8" w:rsidRDefault="00E64591" w:rsidP="006F05B8">
      <w:pPr>
        <w:pStyle w:val="ListParagraph"/>
        <w:numPr>
          <w:ilvl w:val="1"/>
          <w:numId w:val="34"/>
        </w:numPr>
        <w:jc w:val="both"/>
        <w:rPr>
          <w:rFonts w:asciiTheme="minorHAnsi" w:hAnsiTheme="minorHAnsi" w:cs="Times New Roman"/>
          <w:color w:val="002060"/>
        </w:rPr>
      </w:pPr>
      <w:r w:rsidRPr="006F05B8">
        <w:rPr>
          <w:rFonts w:asciiTheme="minorHAnsi" w:hAnsiTheme="minorHAnsi" w:cs="Times New Roman"/>
          <w:color w:val="002060"/>
        </w:rPr>
        <w:lastRenderedPageBreak/>
        <w:t>$7,500 for staff travel – attend annual Dropout Re-Engagement National Network conference and, learning tours of other cities’ re-engagement centers</w:t>
      </w:r>
    </w:p>
    <w:p w14:paraId="3DA70A1C" w14:textId="77777777" w:rsidR="00E64591" w:rsidRPr="006F05B8" w:rsidRDefault="000E1600" w:rsidP="006F05B8">
      <w:pPr>
        <w:pStyle w:val="ListParagraph"/>
        <w:numPr>
          <w:ilvl w:val="1"/>
          <w:numId w:val="34"/>
        </w:numPr>
        <w:jc w:val="both"/>
        <w:rPr>
          <w:rFonts w:asciiTheme="minorHAnsi" w:hAnsiTheme="minorHAnsi" w:cs="Times New Roman"/>
          <w:color w:val="002060"/>
        </w:rPr>
      </w:pPr>
      <w:r w:rsidRPr="006F05B8">
        <w:rPr>
          <w:rFonts w:asciiTheme="minorHAnsi" w:hAnsiTheme="minorHAnsi" w:cs="Times New Roman"/>
          <w:color w:val="002060"/>
        </w:rPr>
        <w:t>$20,000 – t</w:t>
      </w:r>
      <w:r w:rsidR="00E64591" w:rsidRPr="006F05B8">
        <w:rPr>
          <w:rFonts w:asciiTheme="minorHAnsi" w:hAnsiTheme="minorHAnsi" w:cs="Times New Roman"/>
          <w:color w:val="002060"/>
        </w:rPr>
        <w:t xml:space="preserve">echnical assistance and consulting </w:t>
      </w:r>
    </w:p>
    <w:p w14:paraId="4C3BB102" w14:textId="77777777" w:rsidR="00E64591" w:rsidRPr="006F05B8" w:rsidRDefault="00E64591" w:rsidP="006F05B8">
      <w:pPr>
        <w:pStyle w:val="ListParagraph"/>
        <w:numPr>
          <w:ilvl w:val="1"/>
          <w:numId w:val="34"/>
        </w:numPr>
        <w:jc w:val="both"/>
        <w:rPr>
          <w:rFonts w:asciiTheme="minorHAnsi" w:hAnsiTheme="minorHAnsi" w:cs="Times New Roman"/>
          <w:color w:val="002060"/>
        </w:rPr>
      </w:pPr>
      <w:r w:rsidRPr="006F05B8">
        <w:rPr>
          <w:rFonts w:asciiTheme="minorHAnsi" w:hAnsiTheme="minorHAnsi" w:cs="Times New Roman"/>
          <w:color w:val="002060"/>
        </w:rPr>
        <w:t xml:space="preserve">$10,000 Student support – transportation needs, acquisition of required </w:t>
      </w:r>
      <w:r w:rsidR="00277C18" w:rsidRPr="006F05B8">
        <w:rPr>
          <w:rFonts w:asciiTheme="minorHAnsi" w:hAnsiTheme="minorHAnsi" w:cs="Times New Roman"/>
          <w:color w:val="002060"/>
        </w:rPr>
        <w:t>identification documents, etc.</w:t>
      </w:r>
    </w:p>
    <w:p w14:paraId="29027597" w14:textId="77777777" w:rsidR="00E64591" w:rsidRPr="00461ADB" w:rsidRDefault="00E64591" w:rsidP="00277C18">
      <w:pPr>
        <w:jc w:val="both"/>
        <w:rPr>
          <w:rFonts w:asciiTheme="minorHAnsi" w:hAnsiTheme="minorHAnsi" w:cs="Times New Roman"/>
          <w:color w:val="002060"/>
        </w:rPr>
      </w:pPr>
    </w:p>
    <w:p w14:paraId="5E65EFDB" w14:textId="1F41376D" w:rsidR="00504E3F" w:rsidRPr="00461ADB" w:rsidRDefault="00E64591" w:rsidP="00504E3F">
      <w:pPr>
        <w:ind w:left="720"/>
        <w:jc w:val="both"/>
        <w:rPr>
          <w:rFonts w:asciiTheme="minorHAnsi" w:hAnsiTheme="minorHAnsi" w:cs="Times New Roman"/>
          <w:color w:val="002060"/>
        </w:rPr>
      </w:pPr>
      <w:r w:rsidRPr="00461ADB">
        <w:rPr>
          <w:rFonts w:asciiTheme="minorHAnsi" w:hAnsiTheme="minorHAnsi" w:cs="Times New Roman"/>
          <w:color w:val="002060"/>
        </w:rPr>
        <w:t xml:space="preserve">For FY 15 this funding has been </w:t>
      </w:r>
      <w:r w:rsidR="001144D6">
        <w:rPr>
          <w:rFonts w:asciiTheme="minorHAnsi" w:hAnsiTheme="minorHAnsi" w:cs="Times New Roman"/>
          <w:color w:val="002060"/>
        </w:rPr>
        <w:t>included in</w:t>
      </w:r>
      <w:r w:rsidRPr="00461ADB">
        <w:rPr>
          <w:rFonts w:asciiTheme="minorHAnsi" w:hAnsiTheme="minorHAnsi" w:cs="Times New Roman"/>
          <w:color w:val="002060"/>
        </w:rPr>
        <w:t xml:space="preserve"> the DME’s budget</w:t>
      </w:r>
      <w:r w:rsidR="006147E7" w:rsidRPr="00461ADB">
        <w:rPr>
          <w:rFonts w:asciiTheme="minorHAnsi" w:hAnsiTheme="minorHAnsi" w:cs="Times New Roman"/>
          <w:color w:val="002060"/>
        </w:rPr>
        <w:t>,</w:t>
      </w:r>
      <w:r w:rsidRPr="00461ADB">
        <w:rPr>
          <w:rFonts w:asciiTheme="minorHAnsi" w:hAnsiTheme="minorHAnsi" w:cs="Times New Roman"/>
          <w:color w:val="002060"/>
        </w:rPr>
        <w:t xml:space="preserve"> which has been spearheading this effort to help facilitate inter-agency partnerships.  </w:t>
      </w:r>
      <w:r w:rsidR="00504E3F" w:rsidRPr="00461ADB">
        <w:rPr>
          <w:rFonts w:asciiTheme="minorHAnsi" w:hAnsiTheme="minorHAnsi" w:cs="Times New Roman"/>
          <w:color w:val="002060"/>
        </w:rPr>
        <w:t>However, the DME and OSSE are working closely on this initiative, and OSSE will eventually be the owner of this work.</w:t>
      </w:r>
    </w:p>
    <w:p w14:paraId="07AF81C6" w14:textId="77777777" w:rsidR="00504E3F" w:rsidRPr="00461ADB" w:rsidRDefault="00504E3F" w:rsidP="00504E3F">
      <w:pPr>
        <w:ind w:left="720"/>
        <w:jc w:val="both"/>
        <w:rPr>
          <w:rFonts w:asciiTheme="minorHAnsi" w:hAnsiTheme="minorHAnsi" w:cs="Times New Roman"/>
          <w:color w:val="002060"/>
        </w:rPr>
      </w:pPr>
    </w:p>
    <w:p w14:paraId="73123AE7" w14:textId="77777777" w:rsidR="00475BA3" w:rsidRPr="00461ADB" w:rsidRDefault="00E64591" w:rsidP="00475BA3">
      <w:pPr>
        <w:ind w:left="720"/>
        <w:jc w:val="both"/>
        <w:rPr>
          <w:rFonts w:asciiTheme="minorHAnsi" w:hAnsiTheme="minorHAnsi" w:cs="Times New Roman"/>
          <w:color w:val="002060"/>
        </w:rPr>
      </w:pPr>
      <w:r w:rsidRPr="00461ADB">
        <w:rPr>
          <w:rFonts w:asciiTheme="minorHAnsi" w:hAnsiTheme="minorHAnsi" w:cs="Times New Roman"/>
          <w:color w:val="002060"/>
        </w:rPr>
        <w:t xml:space="preserve">In addition to this budget, we are working with several partners, both within OSSE and with aligned-agencies, which have committed to provide over $350,000 in in-kind resources. These include donated office and classroom space (including equipment/supplies) at the Department of Employment Services’ (DOES) offices which are conveniently located next to the Minnesota Avenue Metro in Ward 7.  DOES </w:t>
      </w:r>
      <w:proofErr w:type="gramStart"/>
      <w:r w:rsidRPr="00461ADB">
        <w:rPr>
          <w:rFonts w:asciiTheme="minorHAnsi" w:hAnsiTheme="minorHAnsi" w:cs="Times New Roman"/>
          <w:color w:val="002060"/>
        </w:rPr>
        <w:t>has</w:t>
      </w:r>
      <w:proofErr w:type="gramEnd"/>
      <w:r w:rsidRPr="00461ADB">
        <w:rPr>
          <w:rFonts w:asciiTheme="minorHAnsi" w:hAnsiTheme="minorHAnsi" w:cs="Times New Roman"/>
          <w:color w:val="002060"/>
        </w:rPr>
        <w:t xml:space="preserve"> also agreed to detail two FTEs to serve as Re-Engagement Specialists.  OSSE’s Office of Data Management and OSSE’s Division of Specialized Education may also detail an employee on a part-time or full-time basis to support the data needs of this effort and help accurately identify and support students with, or in need of, an IEP.  Additionally, we are reaching out to other naturally-aligned agencies to develop a network of supportive services for REC youth.  </w:t>
      </w:r>
    </w:p>
    <w:p w14:paraId="1D6AB60B" w14:textId="77777777" w:rsidR="00475BA3" w:rsidRPr="00461ADB" w:rsidRDefault="00475BA3" w:rsidP="00475BA3">
      <w:pPr>
        <w:ind w:left="720"/>
        <w:jc w:val="both"/>
        <w:rPr>
          <w:rFonts w:asciiTheme="minorHAnsi" w:hAnsiTheme="minorHAnsi" w:cs="Times New Roman"/>
          <w:color w:val="002060"/>
        </w:rPr>
      </w:pPr>
    </w:p>
    <w:p w14:paraId="21D67CDE" w14:textId="77777777" w:rsidR="00E64591" w:rsidRDefault="00E64591" w:rsidP="00475BA3">
      <w:pPr>
        <w:ind w:left="720"/>
        <w:jc w:val="both"/>
        <w:rPr>
          <w:rFonts w:asciiTheme="minorHAnsi" w:hAnsiTheme="minorHAnsi" w:cs="Times New Roman"/>
          <w:color w:val="002060"/>
        </w:rPr>
      </w:pPr>
      <w:r w:rsidRPr="00461ADB">
        <w:rPr>
          <w:rFonts w:asciiTheme="minorHAnsi" w:hAnsiTheme="minorHAnsi" w:cs="Times New Roman"/>
          <w:color w:val="002060"/>
        </w:rPr>
        <w:t xml:space="preserve">OSSE is currently in the process of finalizing and posting a job description for the REC Director and we expect that this person will be hired in the next couple months; however, until that position is filled, OSSE’s lead on this initiative is Kilin Boardman-Schroyer, Deputy Assistant Superintendent for Adult and Career Education.  </w:t>
      </w:r>
    </w:p>
    <w:p w14:paraId="3C812551" w14:textId="77777777" w:rsidR="00CE45B2" w:rsidRPr="00461ADB" w:rsidRDefault="00CE45B2" w:rsidP="00475BA3">
      <w:pPr>
        <w:ind w:left="720"/>
        <w:jc w:val="both"/>
        <w:rPr>
          <w:rFonts w:asciiTheme="minorHAnsi" w:hAnsiTheme="minorHAnsi" w:cs="Times New Roman"/>
          <w:color w:val="002060"/>
        </w:rPr>
      </w:pPr>
    </w:p>
    <w:p w14:paraId="41817801" w14:textId="77777777" w:rsidR="00E64591" w:rsidRPr="00461ADB" w:rsidRDefault="00E64591" w:rsidP="00E64591">
      <w:pPr>
        <w:rPr>
          <w:rFonts w:asciiTheme="minorHAnsi" w:hAnsiTheme="minorHAnsi" w:cs="Times New Roman"/>
          <w:color w:val="002060"/>
        </w:rPr>
      </w:pPr>
    </w:p>
    <w:p w14:paraId="1EE5A791" w14:textId="77777777" w:rsidR="00E64591" w:rsidRPr="00461ADB" w:rsidRDefault="00E64591" w:rsidP="00E64591">
      <w:pPr>
        <w:ind w:left="720"/>
        <w:rPr>
          <w:rFonts w:asciiTheme="minorHAnsi" w:hAnsiTheme="minorHAnsi" w:cs="Times New Roman"/>
          <w:color w:val="002060"/>
        </w:rPr>
      </w:pPr>
    </w:p>
    <w:p w14:paraId="6B5A1A0C" w14:textId="77777777" w:rsidR="00E64591" w:rsidRPr="00461ADB" w:rsidRDefault="00E64591">
      <w:pPr>
        <w:rPr>
          <w:rFonts w:asciiTheme="minorHAnsi" w:hAnsiTheme="minorHAnsi" w:cs="Times New Roman"/>
          <w:color w:val="002060"/>
        </w:rPr>
      </w:pPr>
    </w:p>
    <w:sectPr w:rsidR="00E64591" w:rsidRPr="00461A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1A35" w14:textId="77777777" w:rsidR="00D075D1" w:rsidRDefault="00D075D1" w:rsidP="00947E70">
      <w:r>
        <w:separator/>
      </w:r>
    </w:p>
  </w:endnote>
  <w:endnote w:type="continuationSeparator" w:id="0">
    <w:p w14:paraId="4F0168BF" w14:textId="77777777" w:rsidR="00D075D1" w:rsidRDefault="00D075D1" w:rsidP="0094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F8210" w14:textId="77777777" w:rsidR="00D075D1" w:rsidRDefault="00D075D1" w:rsidP="00947E70">
      <w:r>
        <w:separator/>
      </w:r>
    </w:p>
  </w:footnote>
  <w:footnote w:type="continuationSeparator" w:id="0">
    <w:p w14:paraId="62441AEF" w14:textId="77777777" w:rsidR="00D075D1" w:rsidRDefault="00D075D1" w:rsidP="00947E70">
      <w:r>
        <w:continuationSeparator/>
      </w:r>
    </w:p>
  </w:footnote>
  <w:footnote w:id="1">
    <w:p w14:paraId="07949563" w14:textId="48F7B1F8" w:rsidR="00416D32" w:rsidRDefault="00416D32">
      <w:pPr>
        <w:pStyle w:val="FootnoteText"/>
      </w:pPr>
      <w:r>
        <w:rPr>
          <w:rStyle w:val="FootnoteReference"/>
        </w:rPr>
        <w:footnoteRef/>
      </w:r>
      <w:r>
        <w:t xml:space="preserve"> </w:t>
      </w:r>
      <w:r w:rsidRPr="00695CAF">
        <w:rPr>
          <w:color w:val="002060"/>
        </w:rPr>
        <w:t>Please note that if the ESEA flexibility waiver is granted, goals 2-4 will need to be amended.</w:t>
      </w:r>
      <w:r w:rsidR="00026313">
        <w:rPr>
          <w:color w:val="002060"/>
        </w:rPr>
        <w:t xml:space="preserve">  Additionally, these goals were crafted in alignment with District-wide education initiatives, and will be regularly revisited and revised as needed.</w:t>
      </w:r>
    </w:p>
  </w:footnote>
  <w:footnote w:id="2">
    <w:p w14:paraId="536844F9" w14:textId="77777777" w:rsidR="00BE6570" w:rsidRDefault="00BE6570">
      <w:pPr>
        <w:pStyle w:val="FootnoteText"/>
      </w:pPr>
      <w:r>
        <w:rPr>
          <w:rStyle w:val="FootnoteReference"/>
        </w:rPr>
        <w:footnoteRef/>
      </w:r>
      <w:r>
        <w:t xml:space="preserve"> </w:t>
      </w:r>
      <w:r w:rsidRPr="00100A0C">
        <w:rPr>
          <w:color w:val="002060"/>
        </w:rPr>
        <w:t>The count begins at the beginning of the Federal fiscal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2B23" w14:textId="77777777" w:rsidR="00BE6570" w:rsidRDefault="00BE6570" w:rsidP="00947E70">
    <w:pPr>
      <w:pStyle w:val="Header"/>
      <w:jc w:val="right"/>
    </w:pPr>
    <w:r>
      <w:t>4.14.14 Budget Responses to the Committee on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2C9"/>
    <w:multiLevelType w:val="hybridMultilevel"/>
    <w:tmpl w:val="8716CB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12644"/>
    <w:multiLevelType w:val="hybridMultilevel"/>
    <w:tmpl w:val="621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B719F"/>
    <w:multiLevelType w:val="hybridMultilevel"/>
    <w:tmpl w:val="486C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23CAE"/>
    <w:multiLevelType w:val="hybridMultilevel"/>
    <w:tmpl w:val="23D8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E7704"/>
    <w:multiLevelType w:val="hybridMultilevel"/>
    <w:tmpl w:val="5A1E95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1A684E"/>
    <w:multiLevelType w:val="multilevel"/>
    <w:tmpl w:val="A2CAB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C92552"/>
    <w:multiLevelType w:val="hybridMultilevel"/>
    <w:tmpl w:val="F58C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4D0603"/>
    <w:multiLevelType w:val="hybridMultilevel"/>
    <w:tmpl w:val="C36EE4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0B128A"/>
    <w:multiLevelType w:val="hybridMultilevel"/>
    <w:tmpl w:val="B84E0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AF446E"/>
    <w:multiLevelType w:val="hybridMultilevel"/>
    <w:tmpl w:val="C1D4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C22150"/>
    <w:multiLevelType w:val="hybridMultilevel"/>
    <w:tmpl w:val="6204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3B2C1D"/>
    <w:multiLevelType w:val="multilevel"/>
    <w:tmpl w:val="3A460D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D616CC"/>
    <w:multiLevelType w:val="hybridMultilevel"/>
    <w:tmpl w:val="7B308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16981"/>
    <w:multiLevelType w:val="multilevel"/>
    <w:tmpl w:val="3A460D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AF28DB"/>
    <w:multiLevelType w:val="hybridMultilevel"/>
    <w:tmpl w:val="4AB2F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A50994"/>
    <w:multiLevelType w:val="hybridMultilevel"/>
    <w:tmpl w:val="B518D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E66809"/>
    <w:multiLevelType w:val="multilevel"/>
    <w:tmpl w:val="EB1AC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421604"/>
    <w:multiLevelType w:val="hybridMultilevel"/>
    <w:tmpl w:val="67407DE2"/>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697961"/>
    <w:multiLevelType w:val="multilevel"/>
    <w:tmpl w:val="B25AA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762E32"/>
    <w:multiLevelType w:val="hybridMultilevel"/>
    <w:tmpl w:val="0308A73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35857316"/>
    <w:multiLevelType w:val="multilevel"/>
    <w:tmpl w:val="AB686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B84C40"/>
    <w:multiLevelType w:val="hybridMultilevel"/>
    <w:tmpl w:val="7B607B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B34DF"/>
    <w:multiLevelType w:val="hybridMultilevel"/>
    <w:tmpl w:val="2C345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F92985"/>
    <w:multiLevelType w:val="hybridMultilevel"/>
    <w:tmpl w:val="3A5E83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7572D"/>
    <w:multiLevelType w:val="hybridMultilevel"/>
    <w:tmpl w:val="2880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D40BE3"/>
    <w:multiLevelType w:val="hybridMultilevel"/>
    <w:tmpl w:val="86D2A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F1873"/>
    <w:multiLevelType w:val="hybridMultilevel"/>
    <w:tmpl w:val="5A68C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0B224B"/>
    <w:multiLevelType w:val="hybridMultilevel"/>
    <w:tmpl w:val="9CC6F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911D62"/>
    <w:multiLevelType w:val="hybridMultilevel"/>
    <w:tmpl w:val="BBE28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39662E1"/>
    <w:multiLevelType w:val="hybridMultilevel"/>
    <w:tmpl w:val="4FE476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2A70EA"/>
    <w:multiLevelType w:val="hybridMultilevel"/>
    <w:tmpl w:val="76BEE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B232B"/>
    <w:multiLevelType w:val="hybridMultilevel"/>
    <w:tmpl w:val="B10230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770468"/>
    <w:multiLevelType w:val="hybridMultilevel"/>
    <w:tmpl w:val="9BFC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6B862F3"/>
    <w:multiLevelType w:val="hybridMultilevel"/>
    <w:tmpl w:val="576A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86A45"/>
    <w:multiLevelType w:val="hybridMultilevel"/>
    <w:tmpl w:val="6E4CC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27C74"/>
    <w:multiLevelType w:val="hybridMultilevel"/>
    <w:tmpl w:val="8844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F705A"/>
    <w:multiLevelType w:val="hybridMultilevel"/>
    <w:tmpl w:val="DF3223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8"/>
  </w:num>
  <w:num w:numId="5">
    <w:abstractNumId w:val="17"/>
  </w:num>
  <w:num w:numId="6">
    <w:abstractNumId w:val="0"/>
  </w:num>
  <w:num w:numId="7">
    <w:abstractNumId w:val="22"/>
  </w:num>
  <w:num w:numId="8">
    <w:abstractNumId w:val="8"/>
  </w:num>
  <w:num w:numId="9">
    <w:abstractNumId w:val="36"/>
  </w:num>
  <w:num w:numId="10">
    <w:abstractNumId w:val="27"/>
  </w:num>
  <w:num w:numId="11">
    <w:abstractNumId w:val="2"/>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26"/>
  </w:num>
  <w:num w:numId="21">
    <w:abstractNumId w:val="29"/>
  </w:num>
  <w:num w:numId="22">
    <w:abstractNumId w:val="6"/>
  </w:num>
  <w:num w:numId="23">
    <w:abstractNumId w:val="12"/>
  </w:num>
  <w:num w:numId="24">
    <w:abstractNumId w:val="21"/>
  </w:num>
  <w:num w:numId="25">
    <w:abstractNumId w:val="7"/>
  </w:num>
  <w:num w:numId="26">
    <w:abstractNumId w:val="31"/>
  </w:num>
  <w:num w:numId="27">
    <w:abstractNumId w:val="33"/>
  </w:num>
  <w:num w:numId="28">
    <w:abstractNumId w:val="25"/>
  </w:num>
  <w:num w:numId="29">
    <w:abstractNumId w:val="13"/>
  </w:num>
  <w:num w:numId="30">
    <w:abstractNumId w:val="9"/>
  </w:num>
  <w:num w:numId="31">
    <w:abstractNumId w:val="30"/>
  </w:num>
  <w:num w:numId="32">
    <w:abstractNumId w:val="1"/>
  </w:num>
  <w:num w:numId="33">
    <w:abstractNumId w:val="34"/>
  </w:num>
  <w:num w:numId="34">
    <w:abstractNumId w:val="23"/>
  </w:num>
  <w:num w:numId="35">
    <w:abstractNumId w:val="3"/>
  </w:num>
  <w:num w:numId="36">
    <w:abstractNumId w:val="35"/>
  </w:num>
  <w:num w:numId="37">
    <w:abstractNumId w:val="5"/>
    <w:lvlOverride w:ilvl="0"/>
    <w:lvlOverride w:ilvl="1"/>
    <w:lvlOverride w:ilvl="2"/>
    <w:lvlOverride w:ilvl="3"/>
    <w:lvlOverride w:ilvl="4"/>
    <w:lvlOverride w:ilvl="5"/>
    <w:lvlOverride w:ilvl="6"/>
    <w:lvlOverride w:ilvl="7"/>
    <w:lvlOverride w:ilvl="8"/>
  </w:num>
  <w:num w:numId="3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70"/>
    <w:rsid w:val="0002604B"/>
    <w:rsid w:val="00026313"/>
    <w:rsid w:val="00031045"/>
    <w:rsid w:val="00035A1E"/>
    <w:rsid w:val="00050C2E"/>
    <w:rsid w:val="0006072D"/>
    <w:rsid w:val="00064325"/>
    <w:rsid w:val="000837A1"/>
    <w:rsid w:val="000841F8"/>
    <w:rsid w:val="00092B6F"/>
    <w:rsid w:val="00092CB6"/>
    <w:rsid w:val="00096F8D"/>
    <w:rsid w:val="000B34F8"/>
    <w:rsid w:val="000D0C49"/>
    <w:rsid w:val="000E1600"/>
    <w:rsid w:val="000E43F3"/>
    <w:rsid w:val="000E5358"/>
    <w:rsid w:val="000E6955"/>
    <w:rsid w:val="000F4052"/>
    <w:rsid w:val="00100A0C"/>
    <w:rsid w:val="00106840"/>
    <w:rsid w:val="00111254"/>
    <w:rsid w:val="001144D6"/>
    <w:rsid w:val="00122D04"/>
    <w:rsid w:val="001340C0"/>
    <w:rsid w:val="00134183"/>
    <w:rsid w:val="001342BC"/>
    <w:rsid w:val="00135B05"/>
    <w:rsid w:val="001372A0"/>
    <w:rsid w:val="00137624"/>
    <w:rsid w:val="0013769D"/>
    <w:rsid w:val="001415D4"/>
    <w:rsid w:val="0015063D"/>
    <w:rsid w:val="00150DD7"/>
    <w:rsid w:val="001631DC"/>
    <w:rsid w:val="001762A3"/>
    <w:rsid w:val="00190D74"/>
    <w:rsid w:val="00195617"/>
    <w:rsid w:val="001A2474"/>
    <w:rsid w:val="001A7409"/>
    <w:rsid w:val="001B22BF"/>
    <w:rsid w:val="001C7F01"/>
    <w:rsid w:val="001D227E"/>
    <w:rsid w:val="001E5EDD"/>
    <w:rsid w:val="001E736D"/>
    <w:rsid w:val="001F43A9"/>
    <w:rsid w:val="001F5713"/>
    <w:rsid w:val="001F7A45"/>
    <w:rsid w:val="00205D96"/>
    <w:rsid w:val="00224EC4"/>
    <w:rsid w:val="00227F8A"/>
    <w:rsid w:val="00243A95"/>
    <w:rsid w:val="002443E9"/>
    <w:rsid w:val="00250776"/>
    <w:rsid w:val="00254E53"/>
    <w:rsid w:val="0026295B"/>
    <w:rsid w:val="00271131"/>
    <w:rsid w:val="002779E7"/>
    <w:rsid w:val="00277C18"/>
    <w:rsid w:val="00282246"/>
    <w:rsid w:val="002832B6"/>
    <w:rsid w:val="002954D0"/>
    <w:rsid w:val="002963E7"/>
    <w:rsid w:val="002B671C"/>
    <w:rsid w:val="002C53EB"/>
    <w:rsid w:val="002C61FE"/>
    <w:rsid w:val="002D3291"/>
    <w:rsid w:val="002D7B1B"/>
    <w:rsid w:val="0030336D"/>
    <w:rsid w:val="00317378"/>
    <w:rsid w:val="003257DA"/>
    <w:rsid w:val="00326554"/>
    <w:rsid w:val="003276E9"/>
    <w:rsid w:val="00335BE1"/>
    <w:rsid w:val="00352623"/>
    <w:rsid w:val="00360BC1"/>
    <w:rsid w:val="003633B4"/>
    <w:rsid w:val="003728F9"/>
    <w:rsid w:val="00374870"/>
    <w:rsid w:val="00375409"/>
    <w:rsid w:val="00392692"/>
    <w:rsid w:val="00393F2A"/>
    <w:rsid w:val="00397A63"/>
    <w:rsid w:val="003A03D0"/>
    <w:rsid w:val="003A7757"/>
    <w:rsid w:val="003B4AFD"/>
    <w:rsid w:val="003C5BD9"/>
    <w:rsid w:val="003D35C1"/>
    <w:rsid w:val="003D793D"/>
    <w:rsid w:val="003E1146"/>
    <w:rsid w:val="003E399E"/>
    <w:rsid w:val="003F3C2D"/>
    <w:rsid w:val="003F545C"/>
    <w:rsid w:val="00402133"/>
    <w:rsid w:val="004053D0"/>
    <w:rsid w:val="00413899"/>
    <w:rsid w:val="0041498C"/>
    <w:rsid w:val="0041673C"/>
    <w:rsid w:val="00416D32"/>
    <w:rsid w:val="00433151"/>
    <w:rsid w:val="004464EE"/>
    <w:rsid w:val="00447223"/>
    <w:rsid w:val="00451283"/>
    <w:rsid w:val="00460C6E"/>
    <w:rsid w:val="00461ADB"/>
    <w:rsid w:val="00463256"/>
    <w:rsid w:val="0046369D"/>
    <w:rsid w:val="004651B5"/>
    <w:rsid w:val="00466659"/>
    <w:rsid w:val="004720F7"/>
    <w:rsid w:val="00475BA3"/>
    <w:rsid w:val="004929DE"/>
    <w:rsid w:val="004A5E5D"/>
    <w:rsid w:val="004B0C6B"/>
    <w:rsid w:val="004C2ADC"/>
    <w:rsid w:val="004E17F7"/>
    <w:rsid w:val="00502C32"/>
    <w:rsid w:val="00504E3F"/>
    <w:rsid w:val="0051301C"/>
    <w:rsid w:val="00514A35"/>
    <w:rsid w:val="00542328"/>
    <w:rsid w:val="00543286"/>
    <w:rsid w:val="00543C5D"/>
    <w:rsid w:val="00547E7C"/>
    <w:rsid w:val="005560AF"/>
    <w:rsid w:val="00584789"/>
    <w:rsid w:val="00591F89"/>
    <w:rsid w:val="005B00D7"/>
    <w:rsid w:val="005B6920"/>
    <w:rsid w:val="005C2B10"/>
    <w:rsid w:val="005C642E"/>
    <w:rsid w:val="005C7802"/>
    <w:rsid w:val="005D1CA0"/>
    <w:rsid w:val="005D23B5"/>
    <w:rsid w:val="005D33DD"/>
    <w:rsid w:val="005E66A0"/>
    <w:rsid w:val="005E70FF"/>
    <w:rsid w:val="005F5B8F"/>
    <w:rsid w:val="0060284E"/>
    <w:rsid w:val="006047A5"/>
    <w:rsid w:val="0060741B"/>
    <w:rsid w:val="006147E7"/>
    <w:rsid w:val="00632140"/>
    <w:rsid w:val="00644C61"/>
    <w:rsid w:val="00645333"/>
    <w:rsid w:val="00646BBA"/>
    <w:rsid w:val="006564AA"/>
    <w:rsid w:val="00661ED8"/>
    <w:rsid w:val="006640D5"/>
    <w:rsid w:val="00673161"/>
    <w:rsid w:val="0067357D"/>
    <w:rsid w:val="00674352"/>
    <w:rsid w:val="00675E81"/>
    <w:rsid w:val="00694983"/>
    <w:rsid w:val="00695CAF"/>
    <w:rsid w:val="0069757B"/>
    <w:rsid w:val="006A7449"/>
    <w:rsid w:val="006B1297"/>
    <w:rsid w:val="006B35D2"/>
    <w:rsid w:val="006C1A70"/>
    <w:rsid w:val="006C1FC4"/>
    <w:rsid w:val="006C3E79"/>
    <w:rsid w:val="006F05B8"/>
    <w:rsid w:val="006F5F43"/>
    <w:rsid w:val="006F62A0"/>
    <w:rsid w:val="006F75DD"/>
    <w:rsid w:val="00711397"/>
    <w:rsid w:val="007116B5"/>
    <w:rsid w:val="00711E62"/>
    <w:rsid w:val="00744BFA"/>
    <w:rsid w:val="00745138"/>
    <w:rsid w:val="00750DAD"/>
    <w:rsid w:val="00751426"/>
    <w:rsid w:val="00753CC9"/>
    <w:rsid w:val="0075662A"/>
    <w:rsid w:val="00765DFD"/>
    <w:rsid w:val="007916F9"/>
    <w:rsid w:val="007942A7"/>
    <w:rsid w:val="00795D35"/>
    <w:rsid w:val="007965E2"/>
    <w:rsid w:val="007B6065"/>
    <w:rsid w:val="007C15F7"/>
    <w:rsid w:val="007D0693"/>
    <w:rsid w:val="007E30EC"/>
    <w:rsid w:val="007E682F"/>
    <w:rsid w:val="00801393"/>
    <w:rsid w:val="0080371D"/>
    <w:rsid w:val="00804785"/>
    <w:rsid w:val="00810089"/>
    <w:rsid w:val="008164D0"/>
    <w:rsid w:val="00821E28"/>
    <w:rsid w:val="0082349F"/>
    <w:rsid w:val="0082485F"/>
    <w:rsid w:val="00826622"/>
    <w:rsid w:val="00826C92"/>
    <w:rsid w:val="008273D9"/>
    <w:rsid w:val="00827F0E"/>
    <w:rsid w:val="00854C6A"/>
    <w:rsid w:val="00860DEA"/>
    <w:rsid w:val="00863225"/>
    <w:rsid w:val="0086518A"/>
    <w:rsid w:val="008720CB"/>
    <w:rsid w:val="00883E41"/>
    <w:rsid w:val="008911E3"/>
    <w:rsid w:val="008A58D5"/>
    <w:rsid w:val="008B4355"/>
    <w:rsid w:val="008E0537"/>
    <w:rsid w:val="008E3997"/>
    <w:rsid w:val="00905B0C"/>
    <w:rsid w:val="00937658"/>
    <w:rsid w:val="00947E70"/>
    <w:rsid w:val="00961341"/>
    <w:rsid w:val="009627F0"/>
    <w:rsid w:val="00962BBB"/>
    <w:rsid w:val="00963D37"/>
    <w:rsid w:val="009652FD"/>
    <w:rsid w:val="00966908"/>
    <w:rsid w:val="00977AAD"/>
    <w:rsid w:val="00995E17"/>
    <w:rsid w:val="009A01E8"/>
    <w:rsid w:val="009A15B1"/>
    <w:rsid w:val="009C0DE3"/>
    <w:rsid w:val="009C4086"/>
    <w:rsid w:val="009D4725"/>
    <w:rsid w:val="009E2550"/>
    <w:rsid w:val="009E653B"/>
    <w:rsid w:val="009F4A67"/>
    <w:rsid w:val="009F5425"/>
    <w:rsid w:val="00A11572"/>
    <w:rsid w:val="00A11B74"/>
    <w:rsid w:val="00A17C49"/>
    <w:rsid w:val="00A26BFD"/>
    <w:rsid w:val="00A40AFD"/>
    <w:rsid w:val="00A60067"/>
    <w:rsid w:val="00A623DC"/>
    <w:rsid w:val="00A706F6"/>
    <w:rsid w:val="00A815B9"/>
    <w:rsid w:val="00AA06A4"/>
    <w:rsid w:val="00AB0700"/>
    <w:rsid w:val="00AB0C6D"/>
    <w:rsid w:val="00AB1EB0"/>
    <w:rsid w:val="00AC2775"/>
    <w:rsid w:val="00AD1699"/>
    <w:rsid w:val="00AE121E"/>
    <w:rsid w:val="00AE2946"/>
    <w:rsid w:val="00AE5F56"/>
    <w:rsid w:val="00B17CEE"/>
    <w:rsid w:val="00B251D0"/>
    <w:rsid w:val="00B36B1F"/>
    <w:rsid w:val="00B4193A"/>
    <w:rsid w:val="00B457E1"/>
    <w:rsid w:val="00B55CA5"/>
    <w:rsid w:val="00B6122A"/>
    <w:rsid w:val="00B64646"/>
    <w:rsid w:val="00B66AAC"/>
    <w:rsid w:val="00B81C57"/>
    <w:rsid w:val="00B84FBD"/>
    <w:rsid w:val="00B856B4"/>
    <w:rsid w:val="00B86F0C"/>
    <w:rsid w:val="00B909B1"/>
    <w:rsid w:val="00B97784"/>
    <w:rsid w:val="00BA7A71"/>
    <w:rsid w:val="00BB1109"/>
    <w:rsid w:val="00BD5C36"/>
    <w:rsid w:val="00BD79C8"/>
    <w:rsid w:val="00BE1C1D"/>
    <w:rsid w:val="00BE4A8B"/>
    <w:rsid w:val="00BE6570"/>
    <w:rsid w:val="00BF5C01"/>
    <w:rsid w:val="00C0053B"/>
    <w:rsid w:val="00C04DFB"/>
    <w:rsid w:val="00C105BC"/>
    <w:rsid w:val="00C14CA2"/>
    <w:rsid w:val="00C1587A"/>
    <w:rsid w:val="00C20969"/>
    <w:rsid w:val="00C22AA6"/>
    <w:rsid w:val="00C35A4A"/>
    <w:rsid w:val="00C35FCA"/>
    <w:rsid w:val="00C453B2"/>
    <w:rsid w:val="00C66CC3"/>
    <w:rsid w:val="00C67EB1"/>
    <w:rsid w:val="00C70089"/>
    <w:rsid w:val="00C7098A"/>
    <w:rsid w:val="00C74E9F"/>
    <w:rsid w:val="00C84923"/>
    <w:rsid w:val="00CA4C50"/>
    <w:rsid w:val="00CB3EE7"/>
    <w:rsid w:val="00CB66E5"/>
    <w:rsid w:val="00CC058C"/>
    <w:rsid w:val="00CC22BA"/>
    <w:rsid w:val="00CC79BB"/>
    <w:rsid w:val="00CD1230"/>
    <w:rsid w:val="00CE45B2"/>
    <w:rsid w:val="00CF0C45"/>
    <w:rsid w:val="00CF5A28"/>
    <w:rsid w:val="00D00987"/>
    <w:rsid w:val="00D01706"/>
    <w:rsid w:val="00D075D1"/>
    <w:rsid w:val="00D122D8"/>
    <w:rsid w:val="00D12F2B"/>
    <w:rsid w:val="00D1500E"/>
    <w:rsid w:val="00D155B2"/>
    <w:rsid w:val="00D177F9"/>
    <w:rsid w:val="00D20479"/>
    <w:rsid w:val="00D4425C"/>
    <w:rsid w:val="00D4667C"/>
    <w:rsid w:val="00D4746C"/>
    <w:rsid w:val="00D54C1A"/>
    <w:rsid w:val="00D64EF7"/>
    <w:rsid w:val="00D66BED"/>
    <w:rsid w:val="00D716EA"/>
    <w:rsid w:val="00D769A5"/>
    <w:rsid w:val="00D81AFE"/>
    <w:rsid w:val="00D8633D"/>
    <w:rsid w:val="00DA1833"/>
    <w:rsid w:val="00DA3CB9"/>
    <w:rsid w:val="00DB0E5A"/>
    <w:rsid w:val="00DB3F16"/>
    <w:rsid w:val="00DB482C"/>
    <w:rsid w:val="00DC5511"/>
    <w:rsid w:val="00DD2EA8"/>
    <w:rsid w:val="00DD5A0F"/>
    <w:rsid w:val="00DE6CD0"/>
    <w:rsid w:val="00E00FDA"/>
    <w:rsid w:val="00E03D06"/>
    <w:rsid w:val="00E229FF"/>
    <w:rsid w:val="00E44DE7"/>
    <w:rsid w:val="00E54695"/>
    <w:rsid w:val="00E62510"/>
    <w:rsid w:val="00E64591"/>
    <w:rsid w:val="00E7013D"/>
    <w:rsid w:val="00E71FA6"/>
    <w:rsid w:val="00E80444"/>
    <w:rsid w:val="00E86CA1"/>
    <w:rsid w:val="00E876FD"/>
    <w:rsid w:val="00E92472"/>
    <w:rsid w:val="00E9705C"/>
    <w:rsid w:val="00EA1EC3"/>
    <w:rsid w:val="00EA395C"/>
    <w:rsid w:val="00EB0A93"/>
    <w:rsid w:val="00EB472E"/>
    <w:rsid w:val="00EB49B3"/>
    <w:rsid w:val="00EC46C1"/>
    <w:rsid w:val="00ED61E3"/>
    <w:rsid w:val="00ED7ADC"/>
    <w:rsid w:val="00EF421C"/>
    <w:rsid w:val="00F028BF"/>
    <w:rsid w:val="00F02BEF"/>
    <w:rsid w:val="00F15C0A"/>
    <w:rsid w:val="00F163CA"/>
    <w:rsid w:val="00F210ED"/>
    <w:rsid w:val="00F2196B"/>
    <w:rsid w:val="00F22D21"/>
    <w:rsid w:val="00F272B0"/>
    <w:rsid w:val="00F31C66"/>
    <w:rsid w:val="00F35093"/>
    <w:rsid w:val="00F627B1"/>
    <w:rsid w:val="00F63FDA"/>
    <w:rsid w:val="00F67D26"/>
    <w:rsid w:val="00F735EC"/>
    <w:rsid w:val="00F77807"/>
    <w:rsid w:val="00F9200A"/>
    <w:rsid w:val="00F92C16"/>
    <w:rsid w:val="00F9318C"/>
    <w:rsid w:val="00F974C4"/>
    <w:rsid w:val="00FA47EC"/>
    <w:rsid w:val="00FA57BA"/>
    <w:rsid w:val="00FC49A9"/>
    <w:rsid w:val="00FD1226"/>
    <w:rsid w:val="00FE71CE"/>
    <w:rsid w:val="00FF09EA"/>
    <w:rsid w:val="00FF121E"/>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F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70"/>
    <w:pPr>
      <w:tabs>
        <w:tab w:val="center" w:pos="4680"/>
        <w:tab w:val="right" w:pos="9360"/>
      </w:tabs>
    </w:pPr>
  </w:style>
  <w:style w:type="character" w:customStyle="1" w:styleId="HeaderChar">
    <w:name w:val="Header Char"/>
    <w:basedOn w:val="DefaultParagraphFont"/>
    <w:link w:val="Header"/>
    <w:uiPriority w:val="99"/>
    <w:rsid w:val="00947E70"/>
  </w:style>
  <w:style w:type="paragraph" w:styleId="Footer">
    <w:name w:val="footer"/>
    <w:basedOn w:val="Normal"/>
    <w:link w:val="FooterChar"/>
    <w:uiPriority w:val="99"/>
    <w:unhideWhenUsed/>
    <w:rsid w:val="00947E70"/>
    <w:pPr>
      <w:tabs>
        <w:tab w:val="center" w:pos="4680"/>
        <w:tab w:val="right" w:pos="9360"/>
      </w:tabs>
    </w:pPr>
  </w:style>
  <w:style w:type="character" w:customStyle="1" w:styleId="FooterChar">
    <w:name w:val="Footer Char"/>
    <w:basedOn w:val="DefaultParagraphFont"/>
    <w:link w:val="Footer"/>
    <w:uiPriority w:val="99"/>
    <w:rsid w:val="00947E70"/>
  </w:style>
  <w:style w:type="paragraph" w:styleId="ListParagraph">
    <w:name w:val="List Paragraph"/>
    <w:basedOn w:val="Normal"/>
    <w:uiPriority w:val="34"/>
    <w:qFormat/>
    <w:rsid w:val="004464EE"/>
    <w:pPr>
      <w:ind w:left="720"/>
      <w:contextualSpacing/>
    </w:pPr>
  </w:style>
  <w:style w:type="table" w:styleId="TableGrid">
    <w:name w:val="Table Grid"/>
    <w:basedOn w:val="TableNormal"/>
    <w:uiPriority w:val="59"/>
    <w:rsid w:val="0074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4BFA"/>
    <w:rPr>
      <w:sz w:val="16"/>
      <w:szCs w:val="16"/>
    </w:rPr>
  </w:style>
  <w:style w:type="paragraph" w:styleId="CommentText">
    <w:name w:val="annotation text"/>
    <w:basedOn w:val="Normal"/>
    <w:link w:val="CommentTextChar"/>
    <w:uiPriority w:val="99"/>
    <w:semiHidden/>
    <w:unhideWhenUsed/>
    <w:rsid w:val="00744BFA"/>
    <w:rPr>
      <w:sz w:val="20"/>
      <w:szCs w:val="20"/>
    </w:rPr>
  </w:style>
  <w:style w:type="character" w:customStyle="1" w:styleId="CommentTextChar">
    <w:name w:val="Comment Text Char"/>
    <w:basedOn w:val="DefaultParagraphFont"/>
    <w:link w:val="CommentText"/>
    <w:uiPriority w:val="99"/>
    <w:semiHidden/>
    <w:rsid w:val="00744BFA"/>
    <w:rPr>
      <w:rFonts w:ascii="Calibri" w:hAnsi="Calibri" w:cs="Calibri"/>
      <w:sz w:val="20"/>
      <w:szCs w:val="20"/>
    </w:rPr>
  </w:style>
  <w:style w:type="paragraph" w:styleId="BalloonText">
    <w:name w:val="Balloon Text"/>
    <w:basedOn w:val="Normal"/>
    <w:link w:val="BalloonTextChar"/>
    <w:uiPriority w:val="99"/>
    <w:semiHidden/>
    <w:unhideWhenUsed/>
    <w:rsid w:val="00744BFA"/>
    <w:rPr>
      <w:rFonts w:ascii="Tahoma" w:hAnsi="Tahoma" w:cs="Tahoma"/>
      <w:sz w:val="16"/>
      <w:szCs w:val="16"/>
    </w:rPr>
  </w:style>
  <w:style w:type="character" w:customStyle="1" w:styleId="BalloonTextChar">
    <w:name w:val="Balloon Text Char"/>
    <w:basedOn w:val="DefaultParagraphFont"/>
    <w:link w:val="BalloonText"/>
    <w:uiPriority w:val="99"/>
    <w:semiHidden/>
    <w:rsid w:val="00744B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6F8D"/>
    <w:rPr>
      <w:b/>
      <w:bCs/>
    </w:rPr>
  </w:style>
  <w:style w:type="character" w:customStyle="1" w:styleId="CommentSubjectChar">
    <w:name w:val="Comment Subject Char"/>
    <w:basedOn w:val="CommentTextChar"/>
    <w:link w:val="CommentSubject"/>
    <w:uiPriority w:val="99"/>
    <w:semiHidden/>
    <w:rsid w:val="00096F8D"/>
    <w:rPr>
      <w:rFonts w:ascii="Calibri" w:hAnsi="Calibri" w:cs="Calibri"/>
      <w:b/>
      <w:bCs/>
      <w:sz w:val="20"/>
      <w:szCs w:val="20"/>
    </w:rPr>
  </w:style>
  <w:style w:type="paragraph" w:styleId="FootnoteText">
    <w:name w:val="footnote text"/>
    <w:basedOn w:val="Normal"/>
    <w:link w:val="FootnoteTextChar"/>
    <w:uiPriority w:val="99"/>
    <w:semiHidden/>
    <w:unhideWhenUsed/>
    <w:rsid w:val="00100A0C"/>
    <w:rPr>
      <w:sz w:val="20"/>
      <w:szCs w:val="20"/>
    </w:rPr>
  </w:style>
  <w:style w:type="character" w:customStyle="1" w:styleId="FootnoteTextChar">
    <w:name w:val="Footnote Text Char"/>
    <w:basedOn w:val="DefaultParagraphFont"/>
    <w:link w:val="FootnoteText"/>
    <w:uiPriority w:val="99"/>
    <w:semiHidden/>
    <w:rsid w:val="00100A0C"/>
    <w:rPr>
      <w:rFonts w:ascii="Calibri" w:hAnsi="Calibri" w:cs="Calibri"/>
      <w:sz w:val="20"/>
      <w:szCs w:val="20"/>
    </w:rPr>
  </w:style>
  <w:style w:type="character" w:styleId="FootnoteReference">
    <w:name w:val="footnote reference"/>
    <w:basedOn w:val="DefaultParagraphFont"/>
    <w:uiPriority w:val="99"/>
    <w:semiHidden/>
    <w:unhideWhenUsed/>
    <w:rsid w:val="00100A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70"/>
    <w:pPr>
      <w:tabs>
        <w:tab w:val="center" w:pos="4680"/>
        <w:tab w:val="right" w:pos="9360"/>
      </w:tabs>
    </w:pPr>
  </w:style>
  <w:style w:type="character" w:customStyle="1" w:styleId="HeaderChar">
    <w:name w:val="Header Char"/>
    <w:basedOn w:val="DefaultParagraphFont"/>
    <w:link w:val="Header"/>
    <w:uiPriority w:val="99"/>
    <w:rsid w:val="00947E70"/>
  </w:style>
  <w:style w:type="paragraph" w:styleId="Footer">
    <w:name w:val="footer"/>
    <w:basedOn w:val="Normal"/>
    <w:link w:val="FooterChar"/>
    <w:uiPriority w:val="99"/>
    <w:unhideWhenUsed/>
    <w:rsid w:val="00947E70"/>
    <w:pPr>
      <w:tabs>
        <w:tab w:val="center" w:pos="4680"/>
        <w:tab w:val="right" w:pos="9360"/>
      </w:tabs>
    </w:pPr>
  </w:style>
  <w:style w:type="character" w:customStyle="1" w:styleId="FooterChar">
    <w:name w:val="Footer Char"/>
    <w:basedOn w:val="DefaultParagraphFont"/>
    <w:link w:val="Footer"/>
    <w:uiPriority w:val="99"/>
    <w:rsid w:val="00947E70"/>
  </w:style>
  <w:style w:type="paragraph" w:styleId="ListParagraph">
    <w:name w:val="List Paragraph"/>
    <w:basedOn w:val="Normal"/>
    <w:uiPriority w:val="34"/>
    <w:qFormat/>
    <w:rsid w:val="004464EE"/>
    <w:pPr>
      <w:ind w:left="720"/>
      <w:contextualSpacing/>
    </w:pPr>
  </w:style>
  <w:style w:type="table" w:styleId="TableGrid">
    <w:name w:val="Table Grid"/>
    <w:basedOn w:val="TableNormal"/>
    <w:uiPriority w:val="59"/>
    <w:rsid w:val="0074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4BFA"/>
    <w:rPr>
      <w:sz w:val="16"/>
      <w:szCs w:val="16"/>
    </w:rPr>
  </w:style>
  <w:style w:type="paragraph" w:styleId="CommentText">
    <w:name w:val="annotation text"/>
    <w:basedOn w:val="Normal"/>
    <w:link w:val="CommentTextChar"/>
    <w:uiPriority w:val="99"/>
    <w:semiHidden/>
    <w:unhideWhenUsed/>
    <w:rsid w:val="00744BFA"/>
    <w:rPr>
      <w:sz w:val="20"/>
      <w:szCs w:val="20"/>
    </w:rPr>
  </w:style>
  <w:style w:type="character" w:customStyle="1" w:styleId="CommentTextChar">
    <w:name w:val="Comment Text Char"/>
    <w:basedOn w:val="DefaultParagraphFont"/>
    <w:link w:val="CommentText"/>
    <w:uiPriority w:val="99"/>
    <w:semiHidden/>
    <w:rsid w:val="00744BFA"/>
    <w:rPr>
      <w:rFonts w:ascii="Calibri" w:hAnsi="Calibri" w:cs="Calibri"/>
      <w:sz w:val="20"/>
      <w:szCs w:val="20"/>
    </w:rPr>
  </w:style>
  <w:style w:type="paragraph" w:styleId="BalloonText">
    <w:name w:val="Balloon Text"/>
    <w:basedOn w:val="Normal"/>
    <w:link w:val="BalloonTextChar"/>
    <w:uiPriority w:val="99"/>
    <w:semiHidden/>
    <w:unhideWhenUsed/>
    <w:rsid w:val="00744BFA"/>
    <w:rPr>
      <w:rFonts w:ascii="Tahoma" w:hAnsi="Tahoma" w:cs="Tahoma"/>
      <w:sz w:val="16"/>
      <w:szCs w:val="16"/>
    </w:rPr>
  </w:style>
  <w:style w:type="character" w:customStyle="1" w:styleId="BalloonTextChar">
    <w:name w:val="Balloon Text Char"/>
    <w:basedOn w:val="DefaultParagraphFont"/>
    <w:link w:val="BalloonText"/>
    <w:uiPriority w:val="99"/>
    <w:semiHidden/>
    <w:rsid w:val="00744B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6F8D"/>
    <w:rPr>
      <w:b/>
      <w:bCs/>
    </w:rPr>
  </w:style>
  <w:style w:type="character" w:customStyle="1" w:styleId="CommentSubjectChar">
    <w:name w:val="Comment Subject Char"/>
    <w:basedOn w:val="CommentTextChar"/>
    <w:link w:val="CommentSubject"/>
    <w:uiPriority w:val="99"/>
    <w:semiHidden/>
    <w:rsid w:val="00096F8D"/>
    <w:rPr>
      <w:rFonts w:ascii="Calibri" w:hAnsi="Calibri" w:cs="Calibri"/>
      <w:b/>
      <w:bCs/>
      <w:sz w:val="20"/>
      <w:szCs w:val="20"/>
    </w:rPr>
  </w:style>
  <w:style w:type="paragraph" w:styleId="FootnoteText">
    <w:name w:val="footnote text"/>
    <w:basedOn w:val="Normal"/>
    <w:link w:val="FootnoteTextChar"/>
    <w:uiPriority w:val="99"/>
    <w:semiHidden/>
    <w:unhideWhenUsed/>
    <w:rsid w:val="00100A0C"/>
    <w:rPr>
      <w:sz w:val="20"/>
      <w:szCs w:val="20"/>
    </w:rPr>
  </w:style>
  <w:style w:type="character" w:customStyle="1" w:styleId="FootnoteTextChar">
    <w:name w:val="Footnote Text Char"/>
    <w:basedOn w:val="DefaultParagraphFont"/>
    <w:link w:val="FootnoteText"/>
    <w:uiPriority w:val="99"/>
    <w:semiHidden/>
    <w:rsid w:val="00100A0C"/>
    <w:rPr>
      <w:rFonts w:ascii="Calibri" w:hAnsi="Calibri" w:cs="Calibri"/>
      <w:sz w:val="20"/>
      <w:szCs w:val="20"/>
    </w:rPr>
  </w:style>
  <w:style w:type="character" w:styleId="FootnoteReference">
    <w:name w:val="footnote reference"/>
    <w:basedOn w:val="DefaultParagraphFont"/>
    <w:uiPriority w:val="99"/>
    <w:semiHidden/>
    <w:unhideWhenUsed/>
    <w:rsid w:val="00100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4435">
      <w:bodyDiv w:val="1"/>
      <w:marLeft w:val="0"/>
      <w:marRight w:val="0"/>
      <w:marTop w:val="0"/>
      <w:marBottom w:val="0"/>
      <w:divBdr>
        <w:top w:val="none" w:sz="0" w:space="0" w:color="auto"/>
        <w:left w:val="none" w:sz="0" w:space="0" w:color="auto"/>
        <w:bottom w:val="none" w:sz="0" w:space="0" w:color="auto"/>
        <w:right w:val="none" w:sz="0" w:space="0" w:color="auto"/>
      </w:divBdr>
    </w:div>
    <w:div w:id="853302139">
      <w:bodyDiv w:val="1"/>
      <w:marLeft w:val="0"/>
      <w:marRight w:val="0"/>
      <w:marTop w:val="0"/>
      <w:marBottom w:val="0"/>
      <w:divBdr>
        <w:top w:val="none" w:sz="0" w:space="0" w:color="auto"/>
        <w:left w:val="none" w:sz="0" w:space="0" w:color="auto"/>
        <w:bottom w:val="none" w:sz="0" w:space="0" w:color="auto"/>
        <w:right w:val="none" w:sz="0" w:space="0" w:color="auto"/>
      </w:divBdr>
    </w:div>
    <w:div w:id="1116369754">
      <w:bodyDiv w:val="1"/>
      <w:marLeft w:val="0"/>
      <w:marRight w:val="0"/>
      <w:marTop w:val="0"/>
      <w:marBottom w:val="0"/>
      <w:divBdr>
        <w:top w:val="none" w:sz="0" w:space="0" w:color="auto"/>
        <w:left w:val="none" w:sz="0" w:space="0" w:color="auto"/>
        <w:bottom w:val="none" w:sz="0" w:space="0" w:color="auto"/>
        <w:right w:val="none" w:sz="0" w:space="0" w:color="auto"/>
      </w:divBdr>
    </w:div>
    <w:div w:id="1366901952">
      <w:bodyDiv w:val="1"/>
      <w:marLeft w:val="0"/>
      <w:marRight w:val="0"/>
      <w:marTop w:val="0"/>
      <w:marBottom w:val="0"/>
      <w:divBdr>
        <w:top w:val="none" w:sz="0" w:space="0" w:color="auto"/>
        <w:left w:val="none" w:sz="0" w:space="0" w:color="auto"/>
        <w:bottom w:val="none" w:sz="0" w:space="0" w:color="auto"/>
        <w:right w:val="none" w:sz="0" w:space="0" w:color="auto"/>
      </w:divBdr>
    </w:div>
    <w:div w:id="1489665957">
      <w:bodyDiv w:val="1"/>
      <w:marLeft w:val="0"/>
      <w:marRight w:val="0"/>
      <w:marTop w:val="0"/>
      <w:marBottom w:val="0"/>
      <w:divBdr>
        <w:top w:val="none" w:sz="0" w:space="0" w:color="auto"/>
        <w:left w:val="none" w:sz="0" w:space="0" w:color="auto"/>
        <w:bottom w:val="none" w:sz="0" w:space="0" w:color="auto"/>
        <w:right w:val="none" w:sz="0" w:space="0" w:color="auto"/>
      </w:divBdr>
    </w:div>
    <w:div w:id="1869491156">
      <w:bodyDiv w:val="1"/>
      <w:marLeft w:val="0"/>
      <w:marRight w:val="0"/>
      <w:marTop w:val="0"/>
      <w:marBottom w:val="0"/>
      <w:divBdr>
        <w:top w:val="none" w:sz="0" w:space="0" w:color="auto"/>
        <w:left w:val="none" w:sz="0" w:space="0" w:color="auto"/>
        <w:bottom w:val="none" w:sz="0" w:space="0" w:color="auto"/>
        <w:right w:val="none" w:sz="0" w:space="0" w:color="auto"/>
      </w:divBdr>
    </w:div>
    <w:div w:id="20471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6486-B43B-4C5F-91DB-8A1171A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13</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94</cp:revision>
  <dcterms:created xsi:type="dcterms:W3CDTF">2014-04-14T16:20:00Z</dcterms:created>
  <dcterms:modified xsi:type="dcterms:W3CDTF">2014-04-14T22:51:00Z</dcterms:modified>
</cp:coreProperties>
</file>